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03" w:rsidRDefault="00420B03" w:rsidP="00420B03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bookmarkStart w:id="0" w:name="_GoBack"/>
      <w:bookmarkEnd w:id="0"/>
      <w:r w:rsidRPr="00F472F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5014CAE0" wp14:editId="48B7CF29">
            <wp:simplePos x="0" y="0"/>
            <wp:positionH relativeFrom="column">
              <wp:posOffset>-635</wp:posOffset>
            </wp:positionH>
            <wp:positionV relativeFrom="paragraph">
              <wp:posOffset>267335</wp:posOffset>
            </wp:positionV>
            <wp:extent cx="2012950" cy="1625600"/>
            <wp:effectExtent l="0" t="0" r="6350" b="0"/>
            <wp:wrapSquare wrapText="bothSides"/>
            <wp:docPr id="18" name="irc_mi" descr="http://success.kz/uploads/posts/2012-11/1352273733_baby_foo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ccess.kz/uploads/posts/2012-11/1352273733_baby_foo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03" w:rsidRDefault="00420B03" w:rsidP="00420B03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АНАЛИЗ НА ПАЗАРА ЗА ДЕТСКИ ХРАНИ В РУСИЯ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Пазара за детски храни в Русия се развива с положителни темпове. Въпреки всеобщото забавяне на потреблението и кризата през 2014 г., продажбите на детски храни се увеличава. Р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ъстът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се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дължи основно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търсенето и предлагането. Тази категория хранителни продукти е от първа необходимост, затова детските храни имат максимално обезпечени продажби по всички канали за продажба на дребно и едро.</w:t>
      </w:r>
    </w:p>
    <w:p w:rsidR="00420B03" w:rsidRPr="00376EBA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Накратко за пазара на детски храни.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детските храни е сегментиран по вид на продукта и възраст на потребителя.</w:t>
      </w:r>
    </w:p>
    <w:p w:rsidR="00420B03" w:rsidRPr="00F472F4" w:rsidRDefault="00420B03" w:rsidP="00420B0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Производството на детски храни е разделено на няколко сегмента: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•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п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юре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та;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• к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аши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• м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лечни и кисело-млечни продукти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• м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лечни смеси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• д</w:t>
      </w: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етски сокове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Pr="00F472F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• чай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472F4">
        <w:rPr>
          <w:rFonts w:ascii="Verdana" w:eastAsia="Times New Roman" w:hAnsi="Verdana" w:cs="Times New Roman"/>
          <w:sz w:val="20"/>
          <w:szCs w:val="20"/>
          <w:lang w:val="bg-BG" w:eastAsia="ru-RU"/>
        </w:rPr>
        <w:t>• и др.</w:t>
      </w:r>
    </w:p>
    <w:p w:rsidR="00420B03" w:rsidRDefault="00420B03" w:rsidP="00420B03">
      <w:pPr>
        <w:spacing w:after="0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 w:rsidRPr="003449EC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Диаграма 1.</w:t>
      </w:r>
      <w:r w:rsidRPr="003449EC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 xml:space="preserve"> Производство на детски храни по сегменти за 2014 г.,% производство в хиляди тона. Източник: </w:t>
      </w:r>
      <w:proofErr w:type="spellStart"/>
      <w:r w:rsidRPr="003449EC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Росстат</w:t>
      </w:r>
      <w:proofErr w:type="spellEnd"/>
    </w:p>
    <w:p w:rsidR="00420B03" w:rsidRDefault="00420B03" w:rsidP="00420B03">
      <w:pPr>
        <w:shd w:val="clear" w:color="auto" w:fill="C6D9F1" w:themeFill="text2" w:themeFillTint="33"/>
        <w:spacing w:after="0"/>
        <w:jc w:val="center"/>
        <w:rPr>
          <w:rFonts w:ascii="Verdana" w:eastAsia="Times New Roman" w:hAnsi="Verdana" w:cs="Times New Roman"/>
          <w:sz w:val="18"/>
          <w:szCs w:val="18"/>
          <w:lang w:val="bg-BG"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E93454A" wp14:editId="02D60938">
            <wp:extent cx="5670550" cy="2508250"/>
            <wp:effectExtent l="0" t="0" r="6350" b="63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В действителност, смесите и кисело-млечните продукти са специализирани клинически доказани храни, които са най-популярни на пазара.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Заместителите на майчината кърма са най-големия сегмент в парично изражение. Но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само заради високата цена. Както се вижда от диаграмат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, в реално изражение това не е най-големият сегмент. Но, този сегмент е и лидер по отношение на темповете на ръст - + 9,4% през 2014 г. в натурално изражение.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Пазарният с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егмент на детски води стремително расте - 11,3% в натурално изражение и 18,2% в парично изражение. На него има сравнително по-малко конкуренция, отколкото в другите сегменти на детски храни.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Пазарните с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егмент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детски 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сокове и чай има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</w:t>
      </w: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по-малък темп на ръст - 1.7% в натурално изражение.</w:t>
      </w:r>
    </w:p>
    <w:p w:rsidR="00420B03" w:rsidRPr="00376EBA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lastRenderedPageBreak/>
        <w:t>Пазарни показатели.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Ръстът на пазара продължава да зависи в голяма степен (72%) от вносните продукти.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73A02">
        <w:rPr>
          <w:rFonts w:ascii="Verdana" w:eastAsia="Times New Roman" w:hAnsi="Verdana" w:cs="Times New Roman"/>
          <w:sz w:val="20"/>
          <w:szCs w:val="20"/>
          <w:lang w:val="bg-BG" w:eastAsia="ru-RU"/>
        </w:rPr>
        <w:t>Ръстът на потреблението в Русия през 2014 г. възлиза на 10-12%.</w:t>
      </w:r>
    </w:p>
    <w:p w:rsidR="00420B03" w:rsidRDefault="00420B03" w:rsidP="00420B03">
      <w:pPr>
        <w:spacing w:after="0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420B03" w:rsidRDefault="00420B03" w:rsidP="00420B03">
      <w:pPr>
        <w:spacing w:after="0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 w:rsidRPr="00AD6112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Диаграма 2</w:t>
      </w:r>
      <w:r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.</w:t>
      </w:r>
      <w:r w:rsidRPr="00AD611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 xml:space="preserve">  Обем на пазара в хиляди рубли за периода 2011-14 година.</w:t>
      </w:r>
      <w:r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 xml:space="preserve"> </w:t>
      </w:r>
      <w:r w:rsidRPr="00AD611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 xml:space="preserve">Източник: Федерална статистическа служба и изчисления </w:t>
      </w:r>
      <w:proofErr w:type="spellStart"/>
      <w:r w:rsidRPr="00AD611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SBMgroup</w:t>
      </w:r>
      <w:proofErr w:type="spellEnd"/>
      <w:r w:rsidRPr="00AD611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.</w:t>
      </w:r>
      <w:proofErr w:type="spellStart"/>
      <w:r w:rsidRPr="00AD6112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biz</w:t>
      </w:r>
      <w:proofErr w:type="spellEnd"/>
    </w:p>
    <w:p w:rsidR="00420B03" w:rsidRPr="00AD6112" w:rsidRDefault="00420B03" w:rsidP="00420B03">
      <w:pPr>
        <w:spacing w:after="0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</w:p>
    <w:p w:rsidR="00420B03" w:rsidRDefault="00420B03" w:rsidP="00420B03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noProof/>
          <w:shd w:val="clear" w:color="auto" w:fill="C6D9F1" w:themeFill="text2" w:themeFillTint="33"/>
          <w:lang w:eastAsia="ru-RU"/>
        </w:rPr>
        <w:drawing>
          <wp:inline distT="0" distB="0" distL="0" distR="0" wp14:anchorId="682C5AF2" wp14:editId="08A9D933">
            <wp:extent cx="4641850" cy="2317750"/>
            <wp:effectExtent l="0" t="0" r="6350" b="63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B03" w:rsidRPr="00376EBA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Импорт.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Като се има предвид, че ембаргото през 2014 г. не засяга детските храни от Европа, то лидерите в този отрасъл остават същите: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1. Швейцария (40% от общия внос)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2. Холандия (25%)</w:t>
      </w:r>
    </w:p>
    <w:p w:rsidR="00420B03" w:rsidRPr="00AD6112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3. Германия (10%)</w:t>
      </w:r>
    </w:p>
    <w:p w:rsidR="00420B03" w:rsidRDefault="00420B03" w:rsidP="00420B0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6112">
        <w:rPr>
          <w:rFonts w:ascii="Verdana" w:eastAsia="Times New Roman" w:hAnsi="Verdana" w:cs="Times New Roman"/>
          <w:sz w:val="20"/>
          <w:szCs w:val="20"/>
          <w:lang w:val="bg-BG" w:eastAsia="ru-RU"/>
        </w:rPr>
        <w:t>Внасят предимно сухи смеси и зеленчукови пюрета.</w:t>
      </w:r>
    </w:p>
    <w:p w:rsidR="00420B03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</w:p>
    <w:p w:rsidR="00420B03" w:rsidRPr="00376EBA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Износ.</w:t>
      </w:r>
    </w:p>
    <w:p w:rsidR="00420B03" w:rsidRPr="00F80A5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>През 2014 г. трите най-големи страни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 които се</w:t>
      </w: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изн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асят</w:t>
      </w: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руски детски храни са: Казах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стан - 50%, Украйна - около 25%,</w:t>
      </w: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Киргизстан -15%.</w:t>
      </w:r>
    </w:p>
    <w:p w:rsidR="00420B03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</w:p>
    <w:p w:rsidR="00420B03" w:rsidRPr="00376EBA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Конкуренция.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Условията на конкуренция на пазара за детски храни може да се нарече по-скоро напрегната. </w:t>
      </w:r>
      <w:proofErr w:type="spellStart"/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>Лидират</w:t>
      </w:r>
      <w:proofErr w:type="spellEnd"/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няколко водещи местни компании и вносители. Пазарът се консолидира и постепенно се прилагат западни модел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 и практики</w:t>
      </w: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</w:p>
    <w:p w:rsidR="00420B03" w:rsidRPr="00F80A5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F80A54">
        <w:rPr>
          <w:rFonts w:ascii="Verdana" w:eastAsia="Times New Roman" w:hAnsi="Verdana" w:cs="Times New Roman"/>
          <w:sz w:val="20"/>
          <w:szCs w:val="20"/>
          <w:lang w:val="bg-BG" w:eastAsia="ru-RU"/>
        </w:rPr>
        <w:t>На пазара действат 41 предприятия от 26 региона на Русия.</w:t>
      </w:r>
    </w:p>
    <w:p w:rsidR="00420B03" w:rsidRPr="00B92C46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4 големи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бранда</w:t>
      </w:r>
      <w:proofErr w:type="spellEnd"/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са двигатели на пазара:</w:t>
      </w:r>
    </w:p>
    <w:p w:rsidR="00420B03" w:rsidRPr="00B92C46" w:rsidRDefault="00420B03" w:rsidP="00420B03">
      <w:pPr>
        <w:spacing w:after="0"/>
        <w:ind w:left="708"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• Данон -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млечни и кисело-млечни продукти;</w:t>
      </w:r>
    </w:p>
    <w:p w:rsidR="00420B03" w:rsidRPr="00B92C46" w:rsidRDefault="00420B03" w:rsidP="00420B03">
      <w:pPr>
        <w:spacing w:after="0"/>
        <w:ind w:left="708"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>• Нестле - смеси и каши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Pr="00B92C46" w:rsidRDefault="00420B03" w:rsidP="00420B03">
      <w:pPr>
        <w:spacing w:after="0"/>
        <w:ind w:left="708"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• </w:t>
      </w:r>
      <w:proofErr w:type="spellStart"/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>ПепсиКо</w:t>
      </w:r>
      <w:proofErr w:type="spellEnd"/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–</w:t>
      </w: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сокове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;</w:t>
      </w:r>
    </w:p>
    <w:p w:rsidR="00420B03" w:rsidRPr="00B92C46" w:rsidRDefault="00420B03" w:rsidP="00420B03">
      <w:pPr>
        <w:spacing w:after="0"/>
        <w:ind w:left="708"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>• Прогрес.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92C46">
        <w:rPr>
          <w:rFonts w:ascii="Verdana" w:eastAsia="Times New Roman" w:hAnsi="Verdana" w:cs="Times New Roman"/>
          <w:sz w:val="20"/>
          <w:szCs w:val="20"/>
          <w:lang w:val="bg-BG" w:eastAsia="ru-RU"/>
        </w:rPr>
        <w:t>Те произвеждат 70% от пазара за детски хранителни продукти.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Вносителите практически на 90% са заели нишата на заместители на майчина кърма в Русия, тъй като на практика няма руски производители. Основната причина за това е, че няма достатъчно руска суровина за тези продукти, а митата на вносните суровини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по-висок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от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митата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з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а готова продукция.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Pr="00376EBA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Нови организации за производство на детски храни в Русия през 2014 г.</w:t>
      </w:r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lastRenderedPageBreak/>
        <w:t xml:space="preserve">• Септември 2014 –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Danon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куп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ува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реконструира завод за мляко в Екатеринбург. Постав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я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производствени линии за детски храни. Инвестира повече от 800 милиона рубли.</w:t>
      </w:r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• АД „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Модест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" в Алтайски край,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задоволява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търсенето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на 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детски храни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на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Алтайски край, Новосибирски и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Кемеровски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региони. През 2014 г. компанията е увеличила производственият си капацитет с 22.2%. За модернизация на линиите са инвестирани над 25 млн. рубли.</w:t>
      </w:r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•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Nestle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гр.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Вологда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. Пуснати са нови линии - 20 вида детски каши. Инвестирани са 2,5 млрд. рубли.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• Предприятие „Лидер-A", гр.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Гудермеев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Чеченска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република. През 2015 г. се планира откри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ването на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цех за производство на детски храни. Планиран производствен капацитет - 15 000 бурканчета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час.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През 2014 г. в Русия са открити нови обекти, като световните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брандове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също са инвестирали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тях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въпреки политическите проблеми в страната. В момента Русия води политика за пълно заместване на вноса в страната.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Детските храни, р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уско производство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са с по-ниски цени и това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кара потребителите да преразглеждат своите вкусове и да избират продукция произведена не от лидерите на пазара.</w:t>
      </w:r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Предпочитанията на потребителите ясно се вижда в класацията на топ 5 в интернета в началото на 2015 г.:</w:t>
      </w:r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1.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Humana</w:t>
      </w:r>
      <w:proofErr w:type="spellEnd"/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2.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Тёма</w:t>
      </w:r>
      <w:proofErr w:type="spellEnd"/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3.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Friso</w:t>
      </w:r>
      <w:proofErr w:type="spellEnd"/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4.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Heinz</w:t>
      </w:r>
      <w:proofErr w:type="spellEnd"/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5.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Бабушкино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Лукошко</w:t>
      </w:r>
      <w:proofErr w:type="spellEnd"/>
    </w:p>
    <w:p w:rsidR="00420B03" w:rsidRPr="00500C9A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6. 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Нэнни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(</w:t>
      </w:r>
      <w:proofErr w:type="spellStart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Бибиколь</w:t>
      </w:r>
      <w:proofErr w:type="spellEnd"/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)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Стойността на руските продукти е до два пъти по-ниска, отколкото вносните, затова сега купувачът все повече и повече доверява на местните производители, където критериите за качество / цена съответстват.</w:t>
      </w:r>
    </w:p>
    <w:p w:rsidR="00420B03" w:rsidRDefault="00420B03" w:rsidP="00420B0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376EBA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Цени</w:t>
      </w:r>
      <w:r w:rsidRPr="00376EBA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.</w:t>
      </w:r>
      <w:r w:rsidRPr="00376EB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На пазара за детски храни предимство имат продукти, които са в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средния 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цен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ови сегмент</w:t>
      </w:r>
      <w:r w:rsidRPr="00500C9A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</w:p>
    <w:p w:rsidR="00420B03" w:rsidRPr="00500C9A" w:rsidRDefault="00420B03" w:rsidP="00420B03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 w:rsidRPr="00376EBA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Диаграма 4.</w:t>
      </w:r>
      <w:r w:rsidRPr="00376EBA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 xml:space="preserve"> Ценова сегментация на пазара за детски храни в Русия,% 2014 г.</w:t>
      </w: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76FE377D" wp14:editId="11A3BEEF">
            <wp:extent cx="4438650" cy="1765300"/>
            <wp:effectExtent l="38100" t="0" r="0" b="63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B03" w:rsidRPr="00F472F4" w:rsidRDefault="00420B03" w:rsidP="00420B0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Pr="00DF732C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През 2014 г. продажбите на </w:t>
      </w:r>
      <w:proofErr w:type="spellStart"/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>брандов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proofErr w:type="spellEnd"/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детски храни в средния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ценови </w:t>
      </w: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>сегмент е бил около 50% от пазара. Ц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е</w:t>
      </w: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>лият среден сегмент до голяма степен се състои от руски стоки.</w:t>
      </w:r>
    </w:p>
    <w:p w:rsidR="00420B03" w:rsidRPr="00DF732C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>Анализ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средните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пазарни </w:t>
      </w: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цени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н</w:t>
      </w: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>а детски хран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DF732C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едро за 2014 г., показва увеличение на цените на 6-10%. Според служители на Съюза на потребителите на Руската федерация, потребителите трябва да са готви, че цените на детските хранителни продукти ще се повишат с още най-малко 1.5-2 пъти.</w:t>
      </w:r>
    </w:p>
    <w:p w:rsidR="00420B03" w:rsidRDefault="00420B03" w:rsidP="00420B03">
      <w:pPr>
        <w:spacing w:after="0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</w:p>
    <w:p w:rsidR="00420B03" w:rsidRPr="00182C04" w:rsidRDefault="00420B03" w:rsidP="00420B03">
      <w:pPr>
        <w:spacing w:after="0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182C04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lastRenderedPageBreak/>
        <w:t>Прогнози.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детски храни в Русия, дори по време на криза, динамично се разраства. Основното направление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за развитие 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е заместването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импорта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. Откриват се нови производства за детски храни, модернизират се и се разширяват линии в действащи предприятия.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Ръст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пазара също ще се увелич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ава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, поради повишаването на раждаемостта и увеличаването на броя на деца на възраст до 4 години. Освен това, през последните години се повишава заетостта на жените и мъжете и следователно, благосъстоянието на родителите се увеличава. Тази тенденция променя отношението на купувачите към масовото производство на детски храни. За младите семейства днес е по-лесно да купуват готови храни за деца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та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да спестяват време за готвене.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Ключов проблем на пазара за детски храни в Русия все още остава проблем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със суровините. Според Федералната статистическа служба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 Федералната митническа служба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Русия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поради падането на рублата, през 2014 г. цените на вносните суровини - риба, плодове и зеленчуци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са се увеличили с 24%. Инфлацията засяга не само вносните храни, но също така и местните стоки, които се произвеждат от вносни суровини.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420B03" w:rsidRDefault="00420B03" w:rsidP="00420B03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</w:pPr>
      <w:r w:rsidRPr="00182C04">
        <w:rPr>
          <w:rFonts w:ascii="Verdana" w:eastAsia="Times New Roman" w:hAnsi="Verdana" w:cs="Times New Roman"/>
          <w:b/>
          <w:sz w:val="20"/>
          <w:szCs w:val="20"/>
          <w:u w:val="single"/>
          <w:lang w:val="bg-BG" w:eastAsia="ru-RU"/>
        </w:rPr>
        <w:t>Оценка на бизнеса.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Все пак, ако през 2015 г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ембаргото засегне вноса на детски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те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храни от Европа, то следва да се увеличат вътрешните производствени показатели. Първо, вносителите ще предпочетат да се локализират на територията на Русия и да изграждат заводи тук, за да не губят пазарният си дял. Второ, по-малките местни предприятия ще могат да  задоволяват тесни пазарни ниши.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В началото на 2015 г., най-добри показатели има в сегментите з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а плодови пюрета, сокове, каши, 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мляко и кисело-млечни продукти. Място за развитие има в сегментите: сухи смеси, зеленчукови пюрета и детска вода.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u w:val="single"/>
          <w:lang w:val="bg-BG" w:eastAsia="ru-RU"/>
        </w:rPr>
        <w:t>Бизнес в сегмента на сухите смеси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– тази пазарна ниша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има високи бариери за навлизане и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не е за малки предприятия – необходимо е скъпо оборудване и има големи конкуренти на пазара, които са построили свои заводи в Руската федерация.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 нишата на </w:t>
      </w:r>
      <w:r w:rsidRPr="00182C04">
        <w:rPr>
          <w:rFonts w:ascii="Verdana" w:eastAsia="Times New Roman" w:hAnsi="Verdana" w:cs="Times New Roman"/>
          <w:sz w:val="20"/>
          <w:szCs w:val="20"/>
          <w:u w:val="single"/>
          <w:lang w:val="bg-BG" w:eastAsia="ru-RU"/>
        </w:rPr>
        <w:t>детск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 w:eastAsia="ru-RU"/>
        </w:rPr>
        <w:t>а</w:t>
      </w:r>
      <w:r w:rsidRPr="00182C04">
        <w:rPr>
          <w:rFonts w:ascii="Verdana" w:eastAsia="Times New Roman" w:hAnsi="Verdana" w:cs="Times New Roman"/>
          <w:sz w:val="20"/>
          <w:szCs w:val="20"/>
          <w:u w:val="single"/>
          <w:lang w:val="bg-BG" w:eastAsia="ru-RU"/>
        </w:rPr>
        <w:t xml:space="preserve"> вода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има много заменители - производители на обикновена питейна вода.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Нишата за </w:t>
      </w:r>
      <w:r w:rsidRPr="00182C04">
        <w:rPr>
          <w:rFonts w:ascii="Verdana" w:eastAsia="Times New Roman" w:hAnsi="Verdana" w:cs="Times New Roman"/>
          <w:sz w:val="20"/>
          <w:szCs w:val="20"/>
          <w:u w:val="single"/>
          <w:lang w:val="bg-BG" w:eastAsia="ru-RU"/>
        </w:rPr>
        <w:t>производство на зеленчукови пюрета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според експерти на </w:t>
      </w:r>
      <w:proofErr w:type="spellStart"/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Success</w:t>
      </w:r>
      <w:proofErr w:type="spellEnd"/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Brand</w:t>
      </w:r>
      <w:proofErr w:type="spellEnd"/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Management</w:t>
      </w:r>
      <w:proofErr w:type="spellEnd"/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, е най-интересната област, в която може да се включат малки и средни предприятия в пазара на детски храни.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Бъдещият производител трябва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предварително 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да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проучи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,  дали в района има всички необходими суровини на разумни цени, както и да оцени наличието и силата на активно действащите конкуренти в избрания регион.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З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а регионалните производители на детски храни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арианти за продажби могат да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бъдат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следните канали:</w:t>
      </w:r>
    </w:p>
    <w:p w:rsidR="00420B03" w:rsidRPr="00182C04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1. Доставки на болниците по държавни поръчки. Такива продукти се дават на децата по рецепти, изпис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</w:t>
      </w: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ани от педиатрите. Подобни поръчки могат да бъдат получени чрез участие в търгове за обществени поръчки.</w:t>
      </w:r>
    </w:p>
    <w:p w:rsidR="00420B03" w:rsidRDefault="00420B03" w:rsidP="00420B03">
      <w:pPr>
        <w:spacing w:after="0"/>
        <w:ind w:firstLine="708"/>
        <w:jc w:val="both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 w:rsidRPr="00182C04">
        <w:rPr>
          <w:rFonts w:ascii="Verdana" w:eastAsia="Times New Roman" w:hAnsi="Verdana" w:cs="Times New Roman"/>
          <w:sz w:val="20"/>
          <w:szCs w:val="20"/>
          <w:lang w:val="bg-BG" w:eastAsia="ru-RU"/>
        </w:rPr>
        <w:t>2. Малки и големи вериги магазини.</w:t>
      </w: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 w:rsidRPr="00A90A9E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Таблица 1.</w:t>
      </w:r>
      <w:r w:rsidRPr="00182C04"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 xml:space="preserve"> Фактори на производството и изисквания за бизнеса в нишата за зеленчукови пюрета, от началото на 2015 г.</w:t>
      </w:r>
    </w:p>
    <w:p w:rsidR="00420B03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</w:p>
    <w:tbl>
      <w:tblPr>
        <w:tblStyle w:val="1-61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420B03" w:rsidRPr="00601565" w:rsidTr="0025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9594" w:themeFill="accent2" w:themeFillTint="99"/>
            <w:vAlign w:val="center"/>
          </w:tcPr>
          <w:p w:rsidR="00420B03" w:rsidRPr="00601565" w:rsidRDefault="00420B03" w:rsidP="0025193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  <w:p w:rsidR="00420B03" w:rsidRPr="00601565" w:rsidRDefault="00420B03" w:rsidP="0025193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СУРОВИНИ</w:t>
            </w:r>
          </w:p>
        </w:tc>
        <w:tc>
          <w:tcPr>
            <w:tcW w:w="3862" w:type="dxa"/>
            <w:shd w:val="clear" w:color="auto" w:fill="D6E3BC" w:themeFill="accent3" w:themeFillTint="66"/>
            <w:vAlign w:val="center"/>
          </w:tcPr>
          <w:p w:rsidR="00420B03" w:rsidRPr="000B1B76" w:rsidRDefault="00420B03" w:rsidP="00251930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sz w:val="18"/>
                <w:szCs w:val="18"/>
                <w:lang w:val="bg-BG" w:eastAsia="ru-RU"/>
              </w:rPr>
            </w:pPr>
            <w:r w:rsidRPr="000B1B76">
              <w:rPr>
                <w:rFonts w:ascii="Verdana" w:eastAsia="Times New Roman" w:hAnsi="Verdana" w:cs="Times New Roman"/>
                <w:b w:val="0"/>
                <w:sz w:val="18"/>
                <w:szCs w:val="18"/>
                <w:lang w:val="bg-BG" w:eastAsia="ru-RU"/>
              </w:rPr>
              <w:t xml:space="preserve">Зърнени храни и зеленчуци се отглеждат под особен контрол на специални плантации, от които </w:t>
            </w:r>
            <w:r w:rsidRPr="000B1B76">
              <w:rPr>
                <w:rFonts w:ascii="Verdana" w:eastAsia="Times New Roman" w:hAnsi="Verdana" w:cs="Times New Roman"/>
                <w:b w:val="0"/>
                <w:sz w:val="18"/>
                <w:szCs w:val="18"/>
                <w:lang w:val="bg-BG" w:eastAsia="ru-RU"/>
              </w:rPr>
              <w:lastRenderedPageBreak/>
              <w:t>задължително се вземат проби от земята и водата</w:t>
            </w:r>
            <w:r>
              <w:rPr>
                <w:rFonts w:ascii="Verdana" w:eastAsia="Times New Roman" w:hAnsi="Verdana" w:cs="Times New Roman"/>
                <w:b w:val="0"/>
                <w:sz w:val="18"/>
                <w:szCs w:val="18"/>
                <w:lang w:val="bg-BG" w:eastAsia="ru-RU"/>
              </w:rPr>
              <w:t>.</w:t>
            </w:r>
          </w:p>
        </w:tc>
        <w:tc>
          <w:tcPr>
            <w:tcW w:w="3191" w:type="dxa"/>
            <w:shd w:val="clear" w:color="auto" w:fill="D6E3BC" w:themeFill="accent3" w:themeFillTint="66"/>
            <w:vAlign w:val="center"/>
          </w:tcPr>
          <w:p w:rsidR="00420B03" w:rsidRPr="000B1B76" w:rsidRDefault="00420B03" w:rsidP="002519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sz w:val="18"/>
                <w:szCs w:val="18"/>
                <w:lang w:val="bg-BG"/>
              </w:rPr>
            </w:pPr>
            <w:r w:rsidRPr="000B1B76">
              <w:rPr>
                <w:rFonts w:ascii="Verdana" w:eastAsia="Calibri" w:hAnsi="Verdana" w:cs="Times New Roman"/>
                <w:b w:val="0"/>
                <w:sz w:val="18"/>
                <w:szCs w:val="18"/>
                <w:lang w:val="bg-BG"/>
              </w:rPr>
              <w:lastRenderedPageBreak/>
              <w:t xml:space="preserve">Допълнителни компоненти – </w:t>
            </w:r>
            <w:proofErr w:type="spellStart"/>
            <w:r w:rsidRPr="000B1B76">
              <w:rPr>
                <w:rFonts w:ascii="Verdana" w:eastAsia="Calibri" w:hAnsi="Verdana" w:cs="Times New Roman"/>
                <w:b w:val="0"/>
                <w:sz w:val="18"/>
                <w:szCs w:val="18"/>
                <w:lang w:val="bg-BG"/>
              </w:rPr>
              <w:t>пробиоти</w:t>
            </w:r>
            <w:r>
              <w:rPr>
                <w:rFonts w:ascii="Verdana" w:eastAsia="Calibri" w:hAnsi="Verdana" w:cs="Times New Roman"/>
                <w:b w:val="0"/>
                <w:sz w:val="18"/>
                <w:szCs w:val="18"/>
                <w:lang w:val="bg-BG"/>
              </w:rPr>
              <w:t>ц</w:t>
            </w:r>
            <w:r w:rsidRPr="000B1B76">
              <w:rPr>
                <w:rFonts w:ascii="Verdana" w:eastAsia="Calibri" w:hAnsi="Verdana" w:cs="Times New Roman"/>
                <w:b w:val="0"/>
                <w:sz w:val="18"/>
                <w:szCs w:val="18"/>
                <w:lang w:val="bg-BG"/>
              </w:rPr>
              <w:t>и</w:t>
            </w:r>
            <w:proofErr w:type="spellEnd"/>
            <w:r w:rsidRPr="000B1B76">
              <w:rPr>
                <w:rFonts w:ascii="Verdana" w:eastAsia="Calibri" w:hAnsi="Verdana" w:cs="Times New Roman"/>
                <w:b w:val="0"/>
                <w:sz w:val="18"/>
                <w:szCs w:val="18"/>
                <w:lang w:val="bg-BG"/>
              </w:rPr>
              <w:t>, витамини и др.</w:t>
            </w:r>
          </w:p>
        </w:tc>
      </w:tr>
      <w:tr w:rsidR="00420B03" w:rsidRPr="00601565" w:rsidTr="002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9594" w:themeFill="accent2" w:themeFillTint="99"/>
            <w:vAlign w:val="center"/>
          </w:tcPr>
          <w:p w:rsidR="00420B03" w:rsidRPr="00601565" w:rsidRDefault="00420B03" w:rsidP="0025193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lastRenderedPageBreak/>
              <w:t>ПРОИЗВОДСТВО</w:t>
            </w:r>
          </w:p>
        </w:tc>
        <w:tc>
          <w:tcPr>
            <w:tcW w:w="3862" w:type="dxa"/>
            <w:shd w:val="clear" w:color="auto" w:fill="E5B8B7" w:themeFill="accent2" w:themeFillTint="66"/>
            <w:vAlign w:val="center"/>
          </w:tcPr>
          <w:p w:rsidR="00420B03" w:rsidRPr="00601565" w:rsidRDefault="00420B03" w:rsidP="00251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Херметична и удобна порционна опаковка от стъкло.</w:t>
            </w:r>
          </w:p>
        </w:tc>
        <w:tc>
          <w:tcPr>
            <w:tcW w:w="3191" w:type="dxa"/>
            <w:shd w:val="clear" w:color="auto" w:fill="E5B8B7" w:themeFill="accent2" w:themeFillTint="66"/>
            <w:vAlign w:val="center"/>
          </w:tcPr>
          <w:p w:rsidR="00420B03" w:rsidRPr="00601565" w:rsidRDefault="00420B03" w:rsidP="00251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Вкуса и полезните свойства на натуралните съставки, трябва да са съхранени максимално, благодарение на уникалните рецептури и технологии на производство. </w:t>
            </w:r>
          </w:p>
        </w:tc>
      </w:tr>
      <w:tr w:rsidR="00420B03" w:rsidRPr="00601565" w:rsidTr="002519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9594" w:themeFill="accent2" w:themeFillTint="99"/>
            <w:vAlign w:val="center"/>
          </w:tcPr>
          <w:p w:rsidR="00420B03" w:rsidRPr="00601565" w:rsidRDefault="00420B03" w:rsidP="0025193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КОНТРОЛ НА КАЧЕСТВОТО</w:t>
            </w:r>
          </w:p>
        </w:tc>
        <w:tc>
          <w:tcPr>
            <w:tcW w:w="3862" w:type="dxa"/>
            <w:shd w:val="clear" w:color="auto" w:fill="92CDDC" w:themeFill="accent5" w:themeFillTint="99"/>
            <w:vAlign w:val="center"/>
          </w:tcPr>
          <w:p w:rsidR="00420B03" w:rsidRPr="00601565" w:rsidRDefault="00420B03" w:rsidP="002519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Безопасността на продуктите се потвърждава с протокол за изпитване в лицензирани лаборатории.  </w:t>
            </w:r>
          </w:p>
        </w:tc>
        <w:tc>
          <w:tcPr>
            <w:tcW w:w="3191" w:type="dxa"/>
            <w:vMerge w:val="restart"/>
            <w:vAlign w:val="center"/>
          </w:tcPr>
          <w:p w:rsidR="00420B03" w:rsidRPr="00601565" w:rsidRDefault="00420B03" w:rsidP="002519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За стимулиране на продажбите, повишаване на популярността на марката и потвърждаване на качеството на продукцията е полезно участието в конкурси като: „Марка №1 в 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России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“, „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Народная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марка“, „Товар 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года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“, знак за качество „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Лучшее-детям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“, медали от изложби „Страна детства“, „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Золотая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осень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“, 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гранд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от изложби „</w:t>
            </w:r>
            <w:proofErr w:type="spellStart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Весь</w:t>
            </w:r>
            <w:proofErr w:type="spellEnd"/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мир питания“ и др. </w:t>
            </w:r>
          </w:p>
        </w:tc>
      </w:tr>
      <w:tr w:rsidR="00420B03" w:rsidRPr="00601565" w:rsidTr="002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9594" w:themeFill="accent2" w:themeFillTint="99"/>
            <w:vAlign w:val="center"/>
          </w:tcPr>
          <w:p w:rsidR="00420B03" w:rsidRPr="00601565" w:rsidRDefault="00420B03" w:rsidP="00251930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ПРОДАЖБИ</w:t>
            </w:r>
          </w:p>
        </w:tc>
        <w:tc>
          <w:tcPr>
            <w:tcW w:w="3862" w:type="dxa"/>
            <w:shd w:val="clear" w:color="auto" w:fill="B2A1C7" w:themeFill="accent4" w:themeFillTint="99"/>
            <w:vAlign w:val="center"/>
          </w:tcPr>
          <w:p w:rsidR="00420B03" w:rsidRPr="00601565" w:rsidRDefault="00420B03" w:rsidP="00251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Продажби чрез специализирани магазини и вериги супермаркети.</w:t>
            </w:r>
          </w:p>
        </w:tc>
        <w:tc>
          <w:tcPr>
            <w:tcW w:w="3191" w:type="dxa"/>
            <w:vMerge/>
            <w:vAlign w:val="center"/>
          </w:tcPr>
          <w:p w:rsidR="00420B03" w:rsidRPr="00601565" w:rsidRDefault="00420B03" w:rsidP="00251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</w:tc>
      </w:tr>
    </w:tbl>
    <w:p w:rsidR="00420B03" w:rsidRPr="00F472F4" w:rsidRDefault="00420B03" w:rsidP="00420B03">
      <w:pPr>
        <w:spacing w:after="0"/>
        <w:ind w:firstLine="708"/>
        <w:jc w:val="center"/>
        <w:rPr>
          <w:rFonts w:ascii="Verdana" w:eastAsia="Times New Roman" w:hAnsi="Verdana" w:cs="Times New Roman"/>
          <w:i/>
          <w:sz w:val="18"/>
          <w:szCs w:val="18"/>
          <w:lang w:eastAsia="ru-RU"/>
        </w:rPr>
      </w:pPr>
    </w:p>
    <w:p w:rsidR="00420B03" w:rsidRDefault="00420B03" w:rsidP="00420B03">
      <w:pPr>
        <w:spacing w:after="0"/>
        <w:ind w:firstLine="708"/>
        <w:rPr>
          <w:rStyle w:val="hps"/>
          <w:rFonts w:ascii="Verdana" w:hAnsi="Verdana"/>
          <w:sz w:val="20"/>
          <w:szCs w:val="20"/>
          <w:lang w:val="bg-BG"/>
        </w:rPr>
      </w:pPr>
      <w:r w:rsidRPr="004D1EB5">
        <w:rPr>
          <w:rStyle w:val="hps"/>
          <w:rFonts w:ascii="Verdana" w:hAnsi="Verdana"/>
          <w:sz w:val="20"/>
          <w:szCs w:val="20"/>
          <w:lang w:val="bg-BG"/>
        </w:rPr>
        <w:t>Трябва да се вземат под внимание някои трудности, които могат да възникнат по време на преговорите с търговските вериги. Магазините често поставят на малките производители строги изисквания за влизане в големите мрежи.</w:t>
      </w:r>
    </w:p>
    <w:p w:rsidR="00420B03" w:rsidRPr="004D1EB5" w:rsidRDefault="00420B03" w:rsidP="00420B03">
      <w:pPr>
        <w:spacing w:after="0"/>
        <w:ind w:firstLine="708"/>
        <w:rPr>
          <w:rStyle w:val="hps"/>
          <w:rFonts w:ascii="Verdana" w:hAnsi="Verdana"/>
          <w:sz w:val="20"/>
          <w:szCs w:val="20"/>
          <w:lang w:val="bg-BG"/>
        </w:rPr>
      </w:pPr>
      <w:r w:rsidRPr="004D1EB5">
        <w:rPr>
          <w:rStyle w:val="hps"/>
          <w:rFonts w:ascii="Verdana" w:hAnsi="Verdana"/>
          <w:sz w:val="20"/>
          <w:szCs w:val="20"/>
          <w:lang w:val="bg-BG"/>
        </w:rPr>
        <w:t>Бариери за навлизане на производителите в разпространените вериги магазини:</w:t>
      </w:r>
    </w:p>
    <w:p w:rsidR="00420B03" w:rsidRPr="004D1EB5" w:rsidRDefault="00420B03" w:rsidP="00420B03">
      <w:pPr>
        <w:spacing w:after="0"/>
        <w:ind w:firstLine="708"/>
        <w:rPr>
          <w:rStyle w:val="hps"/>
          <w:rFonts w:ascii="Verdana" w:hAnsi="Verdana"/>
          <w:sz w:val="20"/>
          <w:szCs w:val="20"/>
          <w:lang w:val="bg-BG"/>
        </w:rPr>
      </w:pPr>
      <w:r>
        <w:rPr>
          <w:rStyle w:val="hps"/>
          <w:rFonts w:ascii="Verdana" w:hAnsi="Verdana"/>
          <w:sz w:val="20"/>
          <w:szCs w:val="20"/>
          <w:lang w:val="bg-BG"/>
        </w:rPr>
        <w:t>• г</w:t>
      </w:r>
      <w:r w:rsidRPr="004D1EB5">
        <w:rPr>
          <w:rStyle w:val="hps"/>
          <w:rFonts w:ascii="Verdana" w:hAnsi="Verdana"/>
          <w:sz w:val="20"/>
          <w:szCs w:val="20"/>
          <w:lang w:val="bg-BG"/>
        </w:rPr>
        <w:t>оляма входна такса;</w:t>
      </w:r>
    </w:p>
    <w:p w:rsidR="00420B03" w:rsidRPr="004D1EB5" w:rsidRDefault="00420B03" w:rsidP="00420B03">
      <w:pPr>
        <w:spacing w:after="0"/>
        <w:ind w:firstLine="708"/>
        <w:rPr>
          <w:rStyle w:val="hps"/>
          <w:rFonts w:ascii="Verdana" w:hAnsi="Verdana"/>
          <w:sz w:val="20"/>
          <w:szCs w:val="20"/>
          <w:lang w:val="bg-BG"/>
        </w:rPr>
      </w:pPr>
      <w:r w:rsidRPr="004D1EB5">
        <w:rPr>
          <w:rStyle w:val="hps"/>
          <w:rFonts w:ascii="Verdana" w:hAnsi="Verdana"/>
          <w:sz w:val="20"/>
          <w:szCs w:val="20"/>
          <w:lang w:val="bg-BG"/>
        </w:rPr>
        <w:t>• диктуване на цените;</w:t>
      </w:r>
    </w:p>
    <w:p w:rsidR="00420B03" w:rsidRPr="004D1EB5" w:rsidRDefault="00420B03" w:rsidP="00420B03">
      <w:pPr>
        <w:spacing w:after="0"/>
        <w:ind w:firstLine="708"/>
        <w:rPr>
          <w:rStyle w:val="hps"/>
          <w:rFonts w:ascii="Verdana" w:hAnsi="Verdana"/>
          <w:sz w:val="20"/>
          <w:szCs w:val="20"/>
          <w:lang w:val="bg-BG"/>
        </w:rPr>
      </w:pPr>
      <w:r w:rsidRPr="004D1EB5">
        <w:rPr>
          <w:rStyle w:val="hps"/>
          <w:rFonts w:ascii="Verdana" w:hAnsi="Verdana"/>
          <w:sz w:val="20"/>
          <w:szCs w:val="20"/>
          <w:lang w:val="bg-BG"/>
        </w:rPr>
        <w:t>• изисквания за определянето на обемите и графиците за доставка;</w:t>
      </w:r>
    </w:p>
    <w:p w:rsidR="00420B03" w:rsidRDefault="00420B03" w:rsidP="00420B03">
      <w:pPr>
        <w:spacing w:after="0"/>
        <w:ind w:firstLine="708"/>
        <w:rPr>
          <w:rStyle w:val="hps"/>
          <w:rFonts w:ascii="Verdana" w:hAnsi="Verdana"/>
          <w:sz w:val="20"/>
          <w:szCs w:val="20"/>
          <w:lang w:val="bg-BG"/>
        </w:rPr>
      </w:pPr>
      <w:r w:rsidRPr="004D1EB5">
        <w:rPr>
          <w:rStyle w:val="hps"/>
          <w:rFonts w:ascii="Verdana" w:hAnsi="Verdana"/>
          <w:sz w:val="20"/>
          <w:szCs w:val="20"/>
          <w:lang w:val="bg-BG"/>
        </w:rPr>
        <w:t>• прилагане на санкции за неизпълнение на договорите.</w:t>
      </w:r>
    </w:p>
    <w:p w:rsidR="00420B03" w:rsidRPr="004D1EB5" w:rsidRDefault="00420B03" w:rsidP="00420B03">
      <w:pPr>
        <w:spacing w:after="0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>
        <w:rPr>
          <w:rStyle w:val="hps"/>
          <w:rFonts w:ascii="Verdana" w:hAnsi="Verdana"/>
          <w:sz w:val="20"/>
          <w:szCs w:val="20"/>
          <w:lang w:val="bg-BG"/>
        </w:rPr>
        <w:t>В</w:t>
      </w:r>
      <w:r w:rsidRPr="004D1EB5">
        <w:rPr>
          <w:rStyle w:val="hps"/>
          <w:rFonts w:ascii="Verdana" w:hAnsi="Verdana"/>
          <w:sz w:val="20"/>
          <w:szCs w:val="20"/>
          <w:lang w:val="bg-BG"/>
        </w:rPr>
        <w:t>ъпреки</w:t>
      </w:r>
      <w:r>
        <w:rPr>
          <w:rStyle w:val="hps"/>
          <w:rFonts w:ascii="Verdana" w:hAnsi="Verdana"/>
          <w:sz w:val="20"/>
          <w:szCs w:val="20"/>
          <w:lang w:val="bg-BG"/>
        </w:rPr>
        <w:t>,</w:t>
      </w:r>
      <w:r w:rsidRPr="004D1EB5">
        <w:rPr>
          <w:rStyle w:val="hps"/>
          <w:rFonts w:ascii="Verdana" w:hAnsi="Verdana"/>
          <w:sz w:val="20"/>
          <w:szCs w:val="20"/>
          <w:lang w:val="bg-BG"/>
        </w:rPr>
        <w:t xml:space="preserve"> че съществуват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 такива пречки</w:t>
      </w:r>
      <w:r w:rsidRPr="004D1EB5">
        <w:rPr>
          <w:rStyle w:val="hps"/>
          <w:rFonts w:ascii="Verdana" w:hAnsi="Verdana"/>
          <w:sz w:val="20"/>
          <w:szCs w:val="20"/>
          <w:lang w:val="bg-BG"/>
        </w:rPr>
        <w:t xml:space="preserve">, </w:t>
      </w:r>
      <w:r>
        <w:rPr>
          <w:rStyle w:val="hps"/>
          <w:rFonts w:ascii="Verdana" w:hAnsi="Verdana"/>
          <w:sz w:val="20"/>
          <w:szCs w:val="20"/>
          <w:lang w:val="bg-BG"/>
        </w:rPr>
        <w:t xml:space="preserve">те </w:t>
      </w:r>
      <w:r w:rsidRPr="004D1EB5">
        <w:rPr>
          <w:rStyle w:val="hps"/>
          <w:rFonts w:ascii="Verdana" w:hAnsi="Verdana"/>
          <w:sz w:val="20"/>
          <w:szCs w:val="20"/>
          <w:lang w:val="bg-BG"/>
        </w:rPr>
        <w:t>не са непреодолими. Следователно, бъдещият производител трябва да взима под внимание възможните рискове, но в никакъв случай да не ги счита капитално непреодолими. Изискванията на веригите магазини по този начин приучват доставчиците на дисциплина.</w:t>
      </w:r>
    </w:p>
    <w:p w:rsidR="00420B03" w:rsidRPr="004D1EB5" w:rsidRDefault="00420B03" w:rsidP="00420B03">
      <w:pPr>
        <w:spacing w:after="0"/>
        <w:rPr>
          <w:rStyle w:val="hps"/>
          <w:rFonts w:ascii="Verdana" w:hAnsi="Verdana"/>
          <w:sz w:val="20"/>
          <w:szCs w:val="20"/>
          <w:lang w:val="bg-BG"/>
        </w:rPr>
      </w:pPr>
    </w:p>
    <w:p w:rsidR="00420B03" w:rsidRDefault="00420B03" w:rsidP="00420B03">
      <w:pPr>
        <w:spacing w:after="0"/>
        <w:jc w:val="right"/>
        <w:rPr>
          <w:rStyle w:val="hps"/>
          <w:rFonts w:ascii="Verdana" w:hAnsi="Verdana"/>
          <w:sz w:val="20"/>
          <w:szCs w:val="20"/>
          <w:lang w:val="bg-BG"/>
        </w:rPr>
      </w:pPr>
      <w:hyperlink r:id="rId10" w:history="1">
        <w:r w:rsidRPr="003478CD">
          <w:rPr>
            <w:rStyle w:val="a3"/>
            <w:rFonts w:ascii="Verdana" w:hAnsi="Verdana"/>
            <w:sz w:val="20"/>
            <w:szCs w:val="20"/>
            <w:lang w:val="bg-BG"/>
          </w:rPr>
          <w:t>http://moneymakerfactory.ru/</w:t>
        </w:r>
      </w:hyperlink>
      <w:r>
        <w:rPr>
          <w:rStyle w:val="hps"/>
          <w:rFonts w:ascii="Verdana" w:hAnsi="Verdana"/>
          <w:sz w:val="20"/>
          <w:szCs w:val="20"/>
          <w:lang w:val="bg-BG"/>
        </w:rPr>
        <w:t xml:space="preserve"> </w:t>
      </w:r>
    </w:p>
    <w:p w:rsidR="00D0484E" w:rsidRDefault="00D0484E"/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7"/>
    <w:rsid w:val="00420B03"/>
    <w:rsid w:val="005F6997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B03"/>
    <w:rPr>
      <w:color w:val="0000FF" w:themeColor="hyperlink"/>
      <w:u w:val="single"/>
    </w:rPr>
  </w:style>
  <w:style w:type="character" w:customStyle="1" w:styleId="hps">
    <w:name w:val="hps"/>
    <w:basedOn w:val="a0"/>
    <w:rsid w:val="00420B03"/>
  </w:style>
  <w:style w:type="table" w:customStyle="1" w:styleId="1-61">
    <w:name w:val="Средняя сетка 1 - Акцент 61"/>
    <w:basedOn w:val="a1"/>
    <w:next w:val="1-6"/>
    <w:uiPriority w:val="67"/>
    <w:rsid w:val="00420B03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20B0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2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B03"/>
    <w:rPr>
      <w:color w:val="0000FF" w:themeColor="hyperlink"/>
      <w:u w:val="single"/>
    </w:rPr>
  </w:style>
  <w:style w:type="character" w:customStyle="1" w:styleId="hps">
    <w:name w:val="hps"/>
    <w:basedOn w:val="a0"/>
    <w:rsid w:val="00420B03"/>
  </w:style>
  <w:style w:type="table" w:customStyle="1" w:styleId="1-61">
    <w:name w:val="Средняя сетка 1 - Акцент 61"/>
    <w:basedOn w:val="a1"/>
    <w:next w:val="1-6"/>
    <w:uiPriority w:val="67"/>
    <w:rsid w:val="00420B03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20B0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2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ru/url?sa=i&amp;rct=j&amp;q=&amp;esrc=s&amp;source=images&amp;cd=&amp;cad=rja&amp;uact=8&amp;ved=0CAcQjRw&amp;url=http://success.kz/tema/53-pokupaem-detskoe-pitanie-na-chto-obraschat-vnimanie.html&amp;ei=-ROJVZ7ZOsn8ygOP2oFY&amp;bvm=bv.96339352,d.bGQ&amp;psig=AFQjCNG2H6074Eh_Qwh0VQlXN8Gf4Jw4Ng&amp;ust=1435133262629156" TargetMode="External"/><Relationship Id="rId10" Type="http://schemas.openxmlformats.org/officeDocument/2006/relationships/hyperlink" Target="http://moneymakerfactory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902852603950815E-2"/>
          <c:y val="0.18474722726167545"/>
          <c:w val="0.4493274278215223"/>
          <c:h val="0.545893354779583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пюрета</c:v>
                </c:pt>
                <c:pt idx="1">
                  <c:v>млечни смеси</c:v>
                </c:pt>
                <c:pt idx="2">
                  <c:v>йогурти/извара</c:v>
                </c:pt>
                <c:pt idx="3">
                  <c:v>сокове</c:v>
                </c:pt>
                <c:pt idx="4">
                  <c:v>каши</c:v>
                </c:pt>
                <c:pt idx="5">
                  <c:v>мляко</c:v>
                </c:pt>
                <c:pt idx="6">
                  <c:v>кефир</c:v>
                </c:pt>
                <c:pt idx="7">
                  <c:v>бисквити</c:v>
                </c:pt>
                <c:pt idx="8">
                  <c:v>чай</c:v>
                </c:pt>
                <c:pt idx="9">
                  <c:v>вода</c:v>
                </c:pt>
                <c:pt idx="10">
                  <c:v>друго</c:v>
                </c:pt>
                <c:pt idx="11">
                  <c:v>мюсли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27.1</c:v>
                </c:pt>
                <c:pt idx="1">
                  <c:v>19.899999999999999</c:v>
                </c:pt>
                <c:pt idx="2">
                  <c:v>17.2</c:v>
                </c:pt>
                <c:pt idx="3">
                  <c:v>16.2</c:v>
                </c:pt>
                <c:pt idx="4">
                  <c:v>11.4</c:v>
                </c:pt>
                <c:pt idx="5">
                  <c:v>3.1</c:v>
                </c:pt>
                <c:pt idx="6">
                  <c:v>1.5</c:v>
                </c:pt>
                <c:pt idx="7">
                  <c:v>1.1000000000000001</c:v>
                </c:pt>
                <c:pt idx="8">
                  <c:v>1</c:v>
                </c:pt>
                <c:pt idx="9">
                  <c:v>0.9</c:v>
                </c:pt>
                <c:pt idx="10">
                  <c:v>0.4</c:v>
                </c:pt>
                <c:pt idx="1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solidFill>
            <a:srgbClr val="1F497D">
              <a:lumMod val="20000"/>
              <a:lumOff val="80000"/>
            </a:srgbClr>
          </a:solidFill>
        </a:ln>
      </c:spPr>
    </c:plotArea>
    <c:legend>
      <c:legendPos val="r"/>
      <c:layout>
        <c:manualLayout>
          <c:xMode val="edge"/>
          <c:yMode val="edge"/>
          <c:x val="0.57338767158897463"/>
          <c:y val="4.5153389046130726E-2"/>
          <c:w val="0.17741105045575373"/>
          <c:h val="0.66807638356369348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99102996740791"/>
          <c:y val="4.7959048315504842E-2"/>
          <c:w val="0.508899079922702"/>
          <c:h val="0.731515450417509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50000000</c:v>
                </c:pt>
                <c:pt idx="1">
                  <c:v>51000000</c:v>
                </c:pt>
                <c:pt idx="2">
                  <c:v>52000000</c:v>
                </c:pt>
                <c:pt idx="3">
                  <c:v>52000000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импорт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#,##0</c:formatCode>
                <c:ptCount val="4"/>
                <c:pt idx="0">
                  <c:v>70000000</c:v>
                </c:pt>
                <c:pt idx="1">
                  <c:v>100000000</c:v>
                </c:pt>
                <c:pt idx="2">
                  <c:v>120000000</c:v>
                </c:pt>
                <c:pt idx="3">
                  <c:v>130000000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потребление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120000000</c:v>
                </c:pt>
                <c:pt idx="1">
                  <c:v>130000000</c:v>
                </c:pt>
                <c:pt idx="2">
                  <c:v>150000000</c:v>
                </c:pt>
                <c:pt idx="3">
                  <c:v>180000000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57312"/>
        <c:axId val="98563200"/>
      </c:lineChart>
      <c:catAx>
        <c:axId val="9855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563200"/>
        <c:crosses val="autoZero"/>
        <c:auto val="1"/>
        <c:lblAlgn val="ctr"/>
        <c:lblOffset val="100"/>
        <c:noMultiLvlLbl val="0"/>
      </c:catAx>
      <c:valAx>
        <c:axId val="98563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855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42612942612946"/>
          <c:y val="0.18844747538307172"/>
          <c:w val="0.24102702702702702"/>
          <c:h val="0.2639841370193689"/>
        </c:manualLayout>
      </c:layout>
      <c:overlay val="0"/>
    </c:legend>
    <c:plotVisOnly val="1"/>
    <c:dispBlanksAs val="zero"/>
    <c:showDLblsOverMax val="0"/>
  </c:chart>
  <c:spPr>
    <a:solidFill>
      <a:srgbClr val="1F497D">
        <a:lumMod val="20000"/>
        <a:lumOff val="80000"/>
      </a:srgbClr>
    </a:solidFill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4.3222003929273084E-2"/>
          <c:w val="0.41868164916885392"/>
          <c:h val="0.6190485564304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сегмент със средни цени</c:v>
                </c:pt>
                <c:pt idx="1">
                  <c:v>сегмент с низки цени</c:v>
                </c:pt>
                <c:pt idx="2">
                  <c:v>сегмент с високи цени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</c:v>
                </c:pt>
                <c:pt idx="1">
                  <c:v>0.3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5054261994074774"/>
          <c:y val="0.11868350988500537"/>
          <c:w val="0.3417484069750748"/>
          <c:h val="0.34164024260480952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2015-06-29T11:39:00Z</dcterms:created>
  <dcterms:modified xsi:type="dcterms:W3CDTF">2015-06-29T11:39:00Z</dcterms:modified>
</cp:coreProperties>
</file>