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en-US"/>
        </w:rPr>
      </w:pPr>
      <w:r w:rsidRPr="0091318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 wp14:anchorId="48B8BE97" wp14:editId="72748364">
            <wp:simplePos x="0" y="0"/>
            <wp:positionH relativeFrom="column">
              <wp:posOffset>37465</wp:posOffset>
            </wp:positionH>
            <wp:positionV relativeFrom="paragraph">
              <wp:posOffset>115570</wp:posOffset>
            </wp:positionV>
            <wp:extent cx="2108200" cy="1974850"/>
            <wp:effectExtent l="0" t="0" r="0" b="6350"/>
            <wp:wrapSquare wrapText="bothSides"/>
            <wp:docPr id="5" name="Рисунок 5" descr="Бумажная упаковка для еды купить в Республике Карелия |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мажная упаковка для еды купить в Республике Карелия | Дл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4167" l="0" r="997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5"/>
                    <a:stretch/>
                  </pic:blipFill>
                  <pic:spPr bwMode="auto">
                    <a:xfrm>
                      <a:off x="0" y="0"/>
                      <a:ext cx="21082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  <w:t>АНАЛИЗ НА ПАЗАРА НА ХАРТИЕНИТЕ ОПАКОВКИ ПРЕЗ 2020 Г .: ТЕНДЕНЦИИ НА РАЗВИТИЕ И ВЪЗДЕЙСТВИЕ НА КРИЗАТА.</w:t>
      </w:r>
    </w:p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</w:pP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Обемът на потреблението на хартиени опаковки зависи от търсенето на потребителски стоки и логистични услуги: в по-голямата част от случаите (от доставката на онлайн поръчки до предвижването на партиди на едро) стоките на B2C пазарите се транспортират  с автомобилен транспорт в хартиени или картонени кутии, изработени от картон или велпапе (гофриран картон). В новите икономически условия този сегмент ще почувства засилена конкуренция от страна на пластмасовите опаковки, тъй като заради пандемията от коронавирус се съживи търсенето на пластмаса, като най-надеждна и безопасна форма за съхранение на различни продукти. Екологичните програми срещу използването на пластмаси вече загубиха своята актуалност и връщането към тях е възможно едва след окончателното премахване на всички ограничения. В тази ситуация, намаляването на обема на пазара на хартиените опаковки през следващите година или две е неизбежно и ръст може да се очаква заедно с общото възстановяване на руската икономика.</w:t>
      </w:r>
    </w:p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</w:pPr>
    </w:p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  <w:t>Как пазарът е преодолявал предишните кризисни ситуации.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Пазарът на хартиени контейнери и опаковки бързо реагира на състоянието на икономиката: по време на кризите през 2009 и 2015 г. се забелязва забележимо намаляване на потреблението. В същото време обратното възстановяване е било много бързо: за една година, както производството, така и общият обем на пазара достигат докризисните стойности и ги надхвърлят. Общата тенденция в растежа на потреблението на хартиени опаковки се запазва през последните 13 години.</w:t>
      </w:r>
      <w:bookmarkStart w:id="0" w:name="_GoBack"/>
      <w:bookmarkEnd w:id="0"/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</w:rPr>
      </w:pPr>
    </w:p>
    <w:p w:rsidR="00913180" w:rsidRPr="00913180" w:rsidRDefault="00913180" w:rsidP="00913180">
      <w:pPr>
        <w:rPr>
          <w:rStyle w:val="a5"/>
          <w:rFonts w:ascii="Verdana" w:hAnsi="Verdana"/>
          <w:b/>
          <w:i/>
          <w:color w:val="000000" w:themeColor="text1"/>
          <w:sz w:val="18"/>
          <w:szCs w:val="18"/>
          <w:u w:val="none"/>
          <w:lang w:val="bg-BG"/>
        </w:rPr>
      </w:pPr>
      <w:r w:rsidRPr="00913180">
        <w:rPr>
          <w:rStyle w:val="a5"/>
          <w:rFonts w:ascii="Verdana" w:hAnsi="Verdana"/>
          <w:b/>
          <w:i/>
          <w:color w:val="000000" w:themeColor="text1"/>
          <w:sz w:val="18"/>
          <w:szCs w:val="18"/>
          <w:u w:val="none"/>
          <w:lang w:val="bg-BG"/>
        </w:rPr>
        <w:t>Динамика на пазара</w:t>
      </w:r>
      <w:r w:rsidRPr="00913180">
        <w:rPr>
          <w:i/>
          <w:color w:val="000000" w:themeColor="text1"/>
          <w:sz w:val="18"/>
          <w:szCs w:val="18"/>
          <w:lang w:val="bg-BG"/>
        </w:rPr>
        <w:t xml:space="preserve"> </w:t>
      </w:r>
      <w:r w:rsidRPr="00913180">
        <w:rPr>
          <w:rStyle w:val="a5"/>
          <w:rFonts w:ascii="Verdana" w:hAnsi="Verdana"/>
          <w:b/>
          <w:i/>
          <w:color w:val="000000" w:themeColor="text1"/>
          <w:sz w:val="18"/>
          <w:szCs w:val="18"/>
          <w:u w:val="none"/>
          <w:lang w:val="bg-BG"/>
        </w:rPr>
        <w:t>на хартиените контейнери и опаковки.</w:t>
      </w:r>
    </w:p>
    <w:p w:rsidR="00913180" w:rsidRPr="00913180" w:rsidRDefault="00913180" w:rsidP="00913180">
      <w:pPr>
        <w:rPr>
          <w:rStyle w:val="a5"/>
          <w:rFonts w:ascii="Verdana" w:hAnsi="Verdana"/>
          <w:b/>
          <w:i/>
          <w:color w:val="000000" w:themeColor="text1"/>
          <w:sz w:val="18"/>
          <w:szCs w:val="18"/>
          <w:u w:val="none"/>
          <w:lang w:val="bg-BG"/>
        </w:rPr>
      </w:pP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Fonts w:ascii="Verdana" w:eastAsia="Times New Roman" w:hAnsi="Verdana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7AE179AD" wp14:editId="3705E6B2">
            <wp:extent cx="4470441" cy="2019631"/>
            <wp:effectExtent l="0" t="0" r="6350" b="0"/>
            <wp:docPr id="10" name="Рисунок 10" descr="https://article.unipack.ru/light_editor_img/images/2020-5-20/file1589945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icle.unipack.ru/light_editor_img/images/2020-5-20/file15899455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0"/>
                    <a:stretch/>
                  </pic:blipFill>
                  <pic:spPr bwMode="auto">
                    <a:xfrm>
                      <a:off x="0" y="0"/>
                      <a:ext cx="4483100" cy="20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Стабилният ръст на потреблението на хартиени опаковки и контейнери се отразява благоприятно върху динамиката на производството и резултатите на компаниите производители. Приходите на основните компании от 2007 до 2019 г. са се увеличили средно с 3-5 пъти.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4"/>
      </w:tblGrid>
      <w:tr w:rsidR="00913180" w:rsidRPr="00913180" w:rsidTr="00BD1912">
        <w:tc>
          <w:tcPr>
            <w:tcW w:w="5282" w:type="dxa"/>
          </w:tcPr>
          <w:p w:rsidR="00913180" w:rsidRPr="00913180" w:rsidRDefault="00913180" w:rsidP="00913180">
            <w:pPr>
              <w:rPr>
                <w:rStyle w:val="a5"/>
                <w:rFonts w:ascii="Verdana" w:hAnsi="Verdana"/>
                <w:b/>
                <w:i/>
                <w:color w:val="000000" w:themeColor="text1"/>
                <w:sz w:val="18"/>
                <w:szCs w:val="18"/>
                <w:u w:val="none"/>
                <w:lang w:val="bg-BG"/>
              </w:rPr>
            </w:pPr>
            <w:r w:rsidRPr="00913180">
              <w:rPr>
                <w:rStyle w:val="a5"/>
                <w:rFonts w:ascii="Verdana" w:hAnsi="Verdana"/>
                <w:b/>
                <w:i/>
                <w:color w:val="000000" w:themeColor="text1"/>
                <w:sz w:val="18"/>
                <w:szCs w:val="18"/>
                <w:u w:val="none"/>
                <w:lang w:val="bg-BG"/>
              </w:rPr>
              <w:t>Дял на вноса в потреблението</w:t>
            </w:r>
          </w:p>
          <w:p w:rsidR="00913180" w:rsidRPr="00913180" w:rsidRDefault="00913180" w:rsidP="00913180">
            <w:pPr>
              <w:rPr>
                <w:rStyle w:val="a5"/>
                <w:rFonts w:ascii="Verdana" w:hAnsi="Verdana"/>
                <w:b/>
                <w:color w:val="000000" w:themeColor="text1"/>
                <w:sz w:val="20"/>
                <w:szCs w:val="20"/>
                <w:u w:val="none"/>
                <w:lang w:val="bg-BG"/>
              </w:rPr>
            </w:pPr>
          </w:p>
          <w:p w:rsidR="00913180" w:rsidRPr="00913180" w:rsidRDefault="00913180" w:rsidP="00913180">
            <w:pPr>
              <w:rPr>
                <w:rStyle w:val="a5"/>
                <w:rFonts w:ascii="Verdana" w:hAnsi="Verdana"/>
                <w:b/>
                <w:color w:val="000000" w:themeColor="text1"/>
                <w:sz w:val="20"/>
                <w:szCs w:val="20"/>
                <w:u w:val="none"/>
                <w:lang w:val="bg-BG"/>
              </w:rPr>
            </w:pPr>
            <w:r w:rsidRPr="00913180">
              <w:rPr>
                <w:rFonts w:ascii="Verdana" w:eastAsia="Times New Roman" w:hAnsi="Verdana" w:cs="Arial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 wp14:anchorId="78701673" wp14:editId="7F1A272B">
                  <wp:extent cx="1836751" cy="1510748"/>
                  <wp:effectExtent l="0" t="0" r="0" b="0"/>
                  <wp:docPr id="20" name="Рисунок 20" descr="https://article.unipack.ru/light_editor_img/images/2020-5-20/file15899455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ticle.unipack.ru/light_editor_img/images/2020-5-20/file158994557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55" r="50259"/>
                          <a:stretch/>
                        </pic:blipFill>
                        <pic:spPr bwMode="auto">
                          <a:xfrm>
                            <a:off x="0" y="0"/>
                            <a:ext cx="1838284" cy="151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913180" w:rsidRPr="00913180" w:rsidRDefault="00913180" w:rsidP="00913180">
            <w:pPr>
              <w:rPr>
                <w:rStyle w:val="a5"/>
                <w:rFonts w:ascii="Verdana" w:hAnsi="Verdana"/>
                <w:b/>
                <w:i/>
                <w:color w:val="000000" w:themeColor="text1"/>
                <w:sz w:val="18"/>
                <w:szCs w:val="18"/>
                <w:u w:val="none"/>
                <w:lang w:val="bg-BG"/>
              </w:rPr>
            </w:pPr>
            <w:r w:rsidRPr="00913180">
              <w:rPr>
                <w:rStyle w:val="a5"/>
                <w:rFonts w:ascii="Verdana" w:hAnsi="Verdana"/>
                <w:b/>
                <w:i/>
                <w:color w:val="000000" w:themeColor="text1"/>
                <w:sz w:val="18"/>
                <w:szCs w:val="18"/>
                <w:u w:val="none"/>
                <w:lang w:val="bg-BG"/>
              </w:rPr>
              <w:t>Дял на износа в производството</w:t>
            </w:r>
          </w:p>
          <w:p w:rsidR="00913180" w:rsidRPr="00913180" w:rsidRDefault="00913180" w:rsidP="00913180">
            <w:pPr>
              <w:rPr>
                <w:rStyle w:val="a5"/>
                <w:rFonts w:ascii="Verdana" w:hAnsi="Verdana"/>
                <w:b/>
                <w:color w:val="000000" w:themeColor="text1"/>
                <w:sz w:val="20"/>
                <w:szCs w:val="20"/>
                <w:u w:val="none"/>
                <w:lang w:val="bg-BG"/>
              </w:rPr>
            </w:pPr>
          </w:p>
          <w:p w:rsidR="00913180" w:rsidRPr="00913180" w:rsidRDefault="00913180" w:rsidP="00913180">
            <w:pPr>
              <w:rPr>
                <w:rStyle w:val="a5"/>
                <w:rFonts w:ascii="Verdana" w:hAnsi="Verdana"/>
                <w:b/>
                <w:color w:val="000000" w:themeColor="text1"/>
                <w:sz w:val="20"/>
                <w:szCs w:val="20"/>
                <w:u w:val="none"/>
                <w:lang w:val="bg-BG"/>
              </w:rPr>
            </w:pPr>
            <w:r w:rsidRPr="00913180">
              <w:rPr>
                <w:rFonts w:ascii="Verdana" w:eastAsia="Times New Roman" w:hAnsi="Verdana" w:cs="Arial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 wp14:anchorId="295DA451" wp14:editId="08758F78">
                  <wp:extent cx="1839964" cy="1510748"/>
                  <wp:effectExtent l="0" t="0" r="8255" b="0"/>
                  <wp:docPr id="677" name="Рисунок 677" descr="https://article.unipack.ru/light_editor_img/images/2020-5-20/file15899455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ticle.unipack.ru/light_editor_img/images/2020-5-20/file158994557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2" t="18455"/>
                          <a:stretch/>
                        </pic:blipFill>
                        <pic:spPr bwMode="auto">
                          <a:xfrm>
                            <a:off x="0" y="0"/>
                            <a:ext cx="1841500" cy="151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Важно е да се отбележи, че руските компании от хартиената промишленост укрепват своите позиции на пазара поради намаляването на вноса, като същевременно се увеличават експортните доставки. Делът на вноса в потреблението през 2019 г. е намалял до 6% (в сравнение с 14% през 2007 г.), а делът на износа в производството на хартиени опаковки е нараснал до 7–10% (от 2% през 2007 г.).</w:t>
      </w:r>
    </w:p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</w:pPr>
    </w:p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  <w:t xml:space="preserve">Пандемията от коронавирус и икономическата криза ще променят пазара на хартиените опаковки. 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Екологичните инициативи за намаляване на потреблението на пластмаса, включително като опаковки, през последните години увеличиха търсенето на хартиени торби, пакети и други средства за временно съхранение на стоки. Това беше мотивирано от факта, че биоразградимите опаковки, а именно хартиените, причиняват по-малко вреди на околната среда.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Въпреки това, експертите отбелязват, че по време на пандемията от коронавирусът има временно „връщане“ на екологичните инициативи за намаляване на потреблението на пластмасови опаковки: въпросите за безопасността на населението излизат на преден план, а пластмасовите контейнери и опаковки за еднократна употреба са признати за най-безопасния начин за съхранение и транспортиране на продукти. Следователно потреблението на хартиени контейнери и опаковки значително намалява: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lastRenderedPageBreak/>
        <w:t>в сегмента на продоволствените стоки потреблението ще намалее главно поради по-ниското търсене от сегмента HoReCa (доставка на храна за вкъщи). Друг сдържащ фактор ще остане общият спад в търсенето на стоки FMCG (според пазарните експерти, намаляването на потреблението е засегнало 90% от стоковите групи) през периода на самоизолация и намаляване на покупателната способност на населението. Важно е да се отбележи, че спадът на доходите на домакинствата продължава през последните шест години и това е сериозен сдържащ фактор за развитието на пазара на хартиени опаковки;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Търсенето на промишлени контейнери и опаковки също ще намалее, поради намаленото търсене на нехранителни стоки и снижаването на обема на превозите. Според Федералната служба за държавна статистика (Росстат) товарните превози през април 2020 г. са намалели с 8% в сравнение с април 2019 г.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Сроковете за възстановяване на търсенето на стоки FMCG, и като следствие, на хартиени опаковки ще зависи от това, колко бързо ще бъдат снети ограниченията за самоизолация и кога ще приключи епидемията. След кризата населението ще се върне към предишния начин на потребление на опаковки. В същото време в сегмента на хартиените торбички и пакети за еднократна употреба е възможно да се наблюдава спад и след пандемията: с цел да се пести, населението може да се откаже от по-скъпите хартиени изделия.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Екологичната тенденция ще върне хартиените опаковки в ниши, заемани преди това от пластмасовите (където е възможно). Но, от друга страна, преразглеждането на екологичните инициативи за въвеждане на нови технологични решения за преработка и рециклиране на пластмасата ще спомогне за укрепване на позицията на пластмасовите опаковки в продоволственият сегмент.</w:t>
      </w:r>
    </w:p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</w:pPr>
    </w:p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  <w:t>Прогноза за развитието на пазара за 2020–2022 г.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На фона на песимистичните прогнози на МВФ и Централната банка на Руската федерация за забавяне на руската икономика през 2020 г., очевидно е, че пазарът на хартиените опаковки също ще отиде „минус“.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Според анализаторите, съществуват три сценария за по-нататъшното развитие на събитията: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• Песимистичен. Ако икономическата криза и сроковете на пандемията продължат дълго, потреблението на хартиени контейнери и опаковки ще спадне с 6% през 2020 г., след това спада ще продължи и ще започне да нараства едва след 2021 година.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• Оптимистичен. Ако до юли-август 2020 г. се наблюдава стабилна положителна тенденция към намаляване на разпространението на инфекциозното заболяване с едновременно увеличаване на цените на петрола, пазарът на хартиени опаковки ще намалее с 4% до края на годината, а до 2022 г. ще нарасне с 3% в сравнение с показателите преди кризата.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• Основен. Временно се предвижда 5% спад на обема на пазара и преход към неговия ръст до края на 2020 г. - началото на 2021 г. В рая на прогнозния период в този случай, пазарът ще се доближи до нивото на 2019 година.</w:t>
      </w: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</w:p>
    <w:p w:rsidR="00913180" w:rsidRPr="00913180" w:rsidRDefault="00913180" w:rsidP="00913180">
      <w:pPr>
        <w:rPr>
          <w:rStyle w:val="a5"/>
          <w:rFonts w:ascii="Verdana" w:hAnsi="Verdana"/>
          <w:b/>
          <w:i/>
          <w:color w:val="000000" w:themeColor="text1"/>
          <w:sz w:val="18"/>
          <w:szCs w:val="18"/>
          <w:u w:val="none"/>
          <w:lang w:val="bg-BG"/>
        </w:rPr>
      </w:pPr>
      <w:r w:rsidRPr="00913180">
        <w:rPr>
          <w:rStyle w:val="a5"/>
          <w:rFonts w:ascii="Verdana" w:hAnsi="Verdana"/>
          <w:b/>
          <w:i/>
          <w:color w:val="000000" w:themeColor="text1"/>
          <w:sz w:val="18"/>
          <w:szCs w:val="18"/>
          <w:u w:val="none"/>
          <w:lang w:val="bg-BG"/>
        </w:rPr>
        <w:t>Прогноза за развитието на руския пазар за 2020–2022 г.</w:t>
      </w:r>
    </w:p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</w:pPr>
      <w:r w:rsidRPr="00913180">
        <w:rPr>
          <w:rFonts w:ascii="Verdana" w:eastAsia="Times New Roman" w:hAnsi="Verdana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210DB27B" wp14:editId="2584E1E4">
            <wp:extent cx="5136543" cy="1748501"/>
            <wp:effectExtent l="0" t="0" r="6985" b="4445"/>
            <wp:docPr id="27" name="Рисунок 27" descr="https://article.unipack.ru/light_editor_img/images/2020-5-20/file1589945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ticle.unipack.ru/light_editor_img/images/2020-5-20/file15899456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3"/>
                    <a:stretch/>
                  </pic:blipFill>
                  <pic:spPr bwMode="auto">
                    <a:xfrm>
                      <a:off x="0" y="0"/>
                      <a:ext cx="5137150" cy="174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180" w:rsidRPr="00913180" w:rsidRDefault="00913180" w:rsidP="00913180">
      <w:pPr>
        <w:rPr>
          <w:rStyle w:val="a5"/>
          <w:rFonts w:ascii="Verdana" w:hAnsi="Verdana"/>
          <w:i/>
          <w:color w:val="000000" w:themeColor="text1"/>
          <w:sz w:val="18"/>
          <w:szCs w:val="18"/>
          <w:u w:val="none"/>
          <w:lang w:val="bg-BG"/>
        </w:rPr>
      </w:pPr>
      <w:r w:rsidRPr="00913180">
        <w:rPr>
          <w:rFonts w:ascii="Verdana" w:hAnsi="Verdana"/>
          <w:i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AAD0F" wp14:editId="612E125B">
                <wp:simplePos x="0" y="0"/>
                <wp:positionH relativeFrom="column">
                  <wp:posOffset>4065270</wp:posOffset>
                </wp:positionH>
                <wp:positionV relativeFrom="paragraph">
                  <wp:posOffset>85725</wp:posOffset>
                </wp:positionV>
                <wp:extent cx="389255" cy="0"/>
                <wp:effectExtent l="57150" t="38100" r="48895" b="95250"/>
                <wp:wrapNone/>
                <wp:docPr id="680" name="Прямая соединительная линия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1pt,6.75pt" to="35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" strokecolor="#ed7d31 [3205]" strokeweight="1.5pt">
                <v:stroke joinstyle="miter"/>
              </v:line>
            </w:pict>
          </mc:Fallback>
        </mc:AlternateContent>
      </w:r>
      <w:r w:rsidRPr="00913180">
        <w:rPr>
          <w:rFonts w:ascii="Verdana" w:hAnsi="Verdana"/>
          <w:i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31B47" wp14:editId="23BA540D">
                <wp:simplePos x="0" y="0"/>
                <wp:positionH relativeFrom="column">
                  <wp:posOffset>2537460</wp:posOffset>
                </wp:positionH>
                <wp:positionV relativeFrom="paragraph">
                  <wp:posOffset>84455</wp:posOffset>
                </wp:positionV>
                <wp:extent cx="389255" cy="0"/>
                <wp:effectExtent l="57150" t="38100" r="48895" b="95250"/>
                <wp:wrapNone/>
                <wp:docPr id="679" name="Прямая соединительная линия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8pt,6.65pt" to="230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" strokecolor="#5b9bd5 [3204]" strokeweight="1.5pt">
                <v:stroke joinstyle="miter"/>
              </v:line>
            </w:pict>
          </mc:Fallback>
        </mc:AlternateContent>
      </w:r>
      <w:r w:rsidRPr="00913180">
        <w:rPr>
          <w:rFonts w:ascii="Verdana" w:hAnsi="Verdana"/>
          <w:i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747B8" wp14:editId="69C7453E">
                <wp:simplePos x="0" y="0"/>
                <wp:positionH relativeFrom="column">
                  <wp:posOffset>453390</wp:posOffset>
                </wp:positionH>
                <wp:positionV relativeFrom="paragraph">
                  <wp:posOffset>83489</wp:posOffset>
                </wp:positionV>
                <wp:extent cx="389255" cy="0"/>
                <wp:effectExtent l="57150" t="38100" r="48895" b="95250"/>
                <wp:wrapNone/>
                <wp:docPr id="678" name="Прямая соединительная линия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7pt,6.55pt" to="66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" strokecolor="#4472c4 [3208]" strokeweight="1.5pt">
                <v:stroke joinstyle="miter"/>
              </v:line>
            </w:pict>
          </mc:Fallback>
        </mc:AlternateContent>
      </w:r>
      <w:r w:rsidRPr="00913180">
        <w:rPr>
          <w:rStyle w:val="a5"/>
          <w:rFonts w:ascii="Verdana" w:hAnsi="Verdana"/>
          <w:i/>
          <w:color w:val="000000" w:themeColor="text1"/>
          <w:sz w:val="18"/>
          <w:szCs w:val="18"/>
          <w:u w:val="none"/>
          <w:lang w:val="bg-BG"/>
        </w:rPr>
        <w:t xml:space="preserve">           песимистичен сценарий                базов сценарий               оптимистичен сценарий</w:t>
      </w:r>
    </w:p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</w:pP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>По този начин кризата през 2020 г. може да окаже най-значително въздействие върху пазара на хартиените опаковки и контейнери в Русия за цялото време на неговото съществуване. Темпът на неговото възстановяване вероятно ще бъде по-малък, отколкото в предишните случаи и могат да бъдат сравними само при най-благоприятното развитие на събитията.</w:t>
      </w:r>
    </w:p>
    <w:p w:rsidR="00913180" w:rsidRPr="00913180" w:rsidRDefault="00913180" w:rsidP="00913180">
      <w:pPr>
        <w:rPr>
          <w:rStyle w:val="a5"/>
          <w:rFonts w:ascii="Verdana" w:hAnsi="Verdana"/>
          <w:b/>
          <w:color w:val="000000" w:themeColor="text1"/>
          <w:sz w:val="20"/>
          <w:szCs w:val="20"/>
          <w:u w:val="none"/>
          <w:lang w:val="bg-BG"/>
        </w:rPr>
      </w:pPr>
    </w:p>
    <w:p w:rsidR="00913180" w:rsidRPr="00913180" w:rsidRDefault="00913180" w:rsidP="00913180">
      <w:pPr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</w:pPr>
      <w:hyperlink r:id="rId14" w:history="1">
        <w:r w:rsidRPr="00913180">
          <w:rPr>
            <w:rStyle w:val="a5"/>
            <w:rFonts w:ascii="Verdana" w:hAnsi="Verdana"/>
            <w:color w:val="000000" w:themeColor="text1"/>
            <w:sz w:val="20"/>
            <w:szCs w:val="20"/>
            <w:u w:val="none"/>
            <w:lang w:val="bg-BG"/>
          </w:rPr>
          <w:t>https://article.unipack.ru</w:t>
        </w:r>
      </w:hyperlink>
      <w:r w:rsidRPr="00913180">
        <w:rPr>
          <w:rStyle w:val="a5"/>
          <w:rFonts w:ascii="Verdana" w:hAnsi="Verdana"/>
          <w:color w:val="000000" w:themeColor="text1"/>
          <w:sz w:val="20"/>
          <w:szCs w:val="20"/>
          <w:u w:val="none"/>
          <w:lang w:val="bg-BG"/>
        </w:rPr>
        <w:t xml:space="preserve"> </w:t>
      </w:r>
    </w:p>
    <w:p w:rsidR="00A13D1F" w:rsidRPr="00913180" w:rsidRDefault="00A13D1F" w:rsidP="00913180">
      <w:pPr>
        <w:rPr>
          <w:color w:val="000000" w:themeColor="text1"/>
        </w:rPr>
      </w:pPr>
    </w:p>
    <w:sectPr w:rsidR="00A13D1F" w:rsidRPr="009131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0B3D"/>
    <w:multiLevelType w:val="hybridMultilevel"/>
    <w:tmpl w:val="9892C510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C7"/>
    <w:rsid w:val="00913180"/>
    <w:rsid w:val="00A13D1F"/>
    <w:rsid w:val="00D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8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3180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913180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13180"/>
    <w:rPr>
      <w:lang w:val="ru-RU"/>
    </w:rPr>
  </w:style>
  <w:style w:type="table" w:styleId="a6">
    <w:name w:val="Table Grid"/>
    <w:basedOn w:val="a1"/>
    <w:uiPriority w:val="59"/>
    <w:rsid w:val="009131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18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8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3180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913180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13180"/>
    <w:rPr>
      <w:lang w:val="ru-RU"/>
    </w:rPr>
  </w:style>
  <w:style w:type="table" w:styleId="a6">
    <w:name w:val="Table Grid"/>
    <w:basedOn w:val="a1"/>
    <w:uiPriority w:val="59"/>
    <w:rsid w:val="009131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18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hyperlink" Target="https://article.unipac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2020-06-22T09:20:00Z</dcterms:created>
  <dcterms:modified xsi:type="dcterms:W3CDTF">2020-06-22T09:21:00Z</dcterms:modified>
</cp:coreProperties>
</file>