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hdphoto1.wdp" ContentType="image/vnd.ms-photo"/>
  <Override PartName="/word/diagrams/data3.xml" ContentType="application/vnd.openxmlformats-officedocument.drawingml.diagramData+xml"/>
  <Override PartName="/word/diagrams/colors3.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Style w:val="InternetLink"/>
          <w:rFonts w:ascii="Verdana" w:hAnsi="Verdana"/>
          <w:b/>
          <w:b/>
          <w:color w:val="auto"/>
          <w:sz w:val="20"/>
          <w:szCs w:val="20"/>
          <w:u w:val="none"/>
        </w:rPr>
      </w:pPr>
      <w:r>
        <w:rPr>
          <w:rFonts w:ascii="Verdana" w:hAnsi="Verdana"/>
          <w:b/>
          <w:color w:val="auto"/>
          <w:sz w:val="20"/>
          <w:szCs w:val="20"/>
          <w:u w:val="none"/>
        </w:rPr>
        <w:drawing>
          <wp:anchor behindDoc="0" distT="0" distB="635" distL="114300" distR="114300" simplePos="0" locked="0" layoutInCell="1" allowOverlap="1" relativeHeight="4">
            <wp:simplePos x="0" y="0"/>
            <wp:positionH relativeFrom="column">
              <wp:posOffset>-635</wp:posOffset>
            </wp:positionH>
            <wp:positionV relativeFrom="paragraph">
              <wp:posOffset>177800</wp:posOffset>
            </wp:positionV>
            <wp:extent cx="2381250" cy="1618615"/>
            <wp:effectExtent l="0" t="0" r="0" b="0"/>
            <wp:wrapSquare wrapText="bothSides"/>
            <wp:docPr id="1" name="Рисунок 67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78" descr="ÐÐ¾ÑÐ¾Ð¶ÐµÐµ Ð¸Ð·Ð¾Ð±ÑÐ°Ð¶ÐµÐ½Ð¸Ðµ"/>
                    <pic:cNvPicPr>
                      <a:picLocks noChangeAspect="1" noChangeArrowheads="1"/>
                    </pic:cNvPicPr>
                  </pic:nvPicPr>
                  <pic:blipFill>
                    <a:blip r:embed="rId2"/>
                    <a:stretch>
                      <a:fillRect/>
                    </a:stretch>
                  </pic:blipFill>
                  <pic:spPr bwMode="auto">
                    <a:xfrm>
                      <a:off x="0" y="0"/>
                      <a:ext cx="2381250" cy="1618615"/>
                    </a:xfrm>
                    <a:prstGeom prst="rect">
                      <a:avLst/>
                    </a:prstGeom>
                  </pic:spPr>
                </pic:pic>
              </a:graphicData>
            </a:graphic>
          </wp:anchor>
        </w:drawing>
      </w:r>
    </w:p>
    <w:p>
      <w:pPr>
        <w:pStyle w:val="NoSpacing"/>
        <w:spacing w:lineRule="auto" w:line="276"/>
        <w:jc w:val="center"/>
        <w:rPr/>
      </w:pPr>
      <w:r>
        <w:rPr>
          <w:rStyle w:val="InternetLink"/>
          <w:rFonts w:ascii="Verdana" w:hAnsi="Verdana"/>
          <w:b/>
          <w:color w:val="auto"/>
          <w:sz w:val="20"/>
          <w:szCs w:val="20"/>
          <w:u w:val="none"/>
          <w:lang w:val="bg-BG"/>
        </w:rPr>
        <w:t>АНАЛИЗ НА ПАЗАРА НА ТАПЕТИ В РУСИЯ</w:t>
      </w:r>
    </w:p>
    <w:p>
      <w:pPr>
        <w:pStyle w:val="NoSpacing"/>
        <w:spacing w:lineRule="auto" w:line="276"/>
        <w:ind w:firstLine="708"/>
        <w:jc w:val="both"/>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color w:val="auto"/>
          <w:sz w:val="20"/>
          <w:szCs w:val="20"/>
          <w:u w:val="none"/>
          <w:lang w:val="bg-BG"/>
        </w:rPr>
        <w:t>Според данни на анализаторите на DISCOVERY Research Group, обемът на пазара на тапети в Русия през 2017 г. възлиза на 190 142 тона, което е еквивалентно на $588 484 хил. Ръстът на обема на пазара е 0.9% в натурално изражение и 13% в стойностно. Най-голям дял на пазара на тапети в Русия през 2017 г. в натурално изражение заема „Палитра“. Също така, големи марки на пазара са „Саратовские обои“ и украинската марка „Славянские обои“.</w:t>
      </w:r>
    </w:p>
    <w:p>
      <w:pPr>
        <w:pStyle w:val="NoSpacing"/>
        <w:spacing w:lineRule="auto" w:line="276"/>
        <w:ind w:firstLine="708"/>
        <w:jc w:val="both"/>
        <w:rPr/>
      </w:pPr>
      <w:r>
        <w:rPr>
          <w:rStyle w:val="InternetLink"/>
          <w:rFonts w:ascii="Verdana" w:hAnsi="Verdana"/>
          <w:color w:val="auto"/>
          <w:sz w:val="20"/>
          <w:szCs w:val="20"/>
          <w:u w:val="none"/>
          <w:lang w:val="bg-BG"/>
        </w:rPr>
        <w:t>Намалението на обемите на вноса през 2015 г. спрямо предходната с 29% се дължи на политическата ситуация. До 2015 г. по-голямата част от вноса се осъществява от Украйна. След влошаване на отношенията с Русия, вносът на продукции е ограничен.</w:t>
      </w:r>
    </w:p>
    <w:p>
      <w:pPr>
        <w:pStyle w:val="NoSpacing"/>
        <w:spacing w:lineRule="auto" w:line="276"/>
        <w:ind w:firstLine="708"/>
        <w:jc w:val="both"/>
        <w:rPr/>
      </w:pPr>
      <w:r>
        <w:rPr>
          <w:rStyle w:val="InternetLink"/>
          <w:rFonts w:ascii="Verdana" w:hAnsi="Verdana"/>
          <w:color w:val="auto"/>
          <w:sz w:val="20"/>
          <w:szCs w:val="20"/>
          <w:u w:val="none"/>
          <w:lang w:val="bg-BG"/>
        </w:rPr>
        <w:t>Според изчисленията на анализаторите на DISCOVERY Research Group, обемът на производството на тапети в Русия през 2017 г. възлиза на 132,528 рулона или 397 584 м</w:t>
      </w:r>
      <w:r>
        <w:rPr>
          <w:rStyle w:val="InternetLink"/>
          <w:rFonts w:ascii="Verdana" w:hAnsi="Verdana"/>
          <w:color w:val="auto"/>
          <w:sz w:val="20"/>
          <w:szCs w:val="20"/>
          <w:u w:val="none"/>
          <w:vertAlign w:val="superscript"/>
          <w:lang w:val="bg-BG"/>
        </w:rPr>
        <w:t>2</w:t>
      </w:r>
      <w:r>
        <w:rPr>
          <w:rStyle w:val="InternetLink"/>
          <w:rFonts w:ascii="Verdana" w:hAnsi="Verdana"/>
          <w:color w:val="auto"/>
          <w:sz w:val="20"/>
          <w:szCs w:val="20"/>
          <w:u w:val="none"/>
          <w:lang w:val="bg-BG"/>
        </w:rPr>
        <w:t>. В тонове този показател е 140 636 тона. През 2016 г. обемът на производството на тапети е 135,430 рулона. Ръстът през 2017 г. е 2.1%.</w:t>
      </w:r>
    </w:p>
    <w:p>
      <w:pPr>
        <w:pStyle w:val="NoSpacing"/>
        <w:spacing w:lineRule="auto" w:line="276"/>
        <w:ind w:firstLine="708"/>
        <w:jc w:val="both"/>
        <w:rPr/>
      </w:pPr>
      <w:r>
        <w:rPr>
          <w:rStyle w:val="InternetLink"/>
          <w:rFonts w:ascii="Verdana" w:hAnsi="Verdana"/>
          <w:color w:val="auto"/>
          <w:sz w:val="20"/>
          <w:szCs w:val="20"/>
          <w:u w:val="none"/>
          <w:lang w:val="bg-BG"/>
        </w:rPr>
        <w:t>Най-големият вносител на тапети в Русия през 2017 г. е „Славянские обои“. Делът на марката е 31.6% в натурално изражение. Най-големият вносител на тапети в Русия през 2017 г. е Украйна. Също популярни в Русия са тапети от Беларус.</w:t>
      </w:r>
    </w:p>
    <w:p>
      <w:pPr>
        <w:pStyle w:val="NoSpacing"/>
        <w:spacing w:lineRule="auto" w:line="276"/>
        <w:ind w:firstLine="708"/>
        <w:jc w:val="both"/>
        <w:rPr/>
      </w:pPr>
      <w:r>
        <w:rPr>
          <w:rStyle w:val="InternetLink"/>
          <w:rFonts w:ascii="Verdana" w:hAnsi="Verdana"/>
          <w:color w:val="auto"/>
          <w:sz w:val="20"/>
          <w:szCs w:val="20"/>
          <w:u w:val="none"/>
          <w:lang w:val="bg-BG"/>
        </w:rPr>
        <w:t>Обемът на износа на тапети от Русия през 2017 г. възлиза на 16 516,5 тона. Ръстът е 15,4%. През 2016 г. обемът на износа възлиза на 14 312 тона. През 2017 година категорията тапети “Виниловые” е заемала най-голям дял от 83% в натурално изражение. Най-популярните винилови тапети в обема на износа са на флизелинова основа. Най-голям обем на износа на тапети е към Казахстан. Делът на страната е 43.6% от общия обем на износа.</w:t>
      </w:r>
    </w:p>
    <w:p>
      <w:pPr>
        <w:pStyle w:val="NoSpacing"/>
        <w:spacing w:lineRule="auto" w:line="276"/>
        <w:ind w:firstLine="708"/>
        <w:jc w:val="both"/>
        <w:rPr/>
      </w:pPr>
      <w:r>
        <w:rPr>
          <w:rStyle w:val="InternetLink"/>
          <w:rFonts w:ascii="Verdana" w:hAnsi="Verdana"/>
          <w:color w:val="auto"/>
          <w:sz w:val="20"/>
          <w:szCs w:val="20"/>
          <w:u w:val="none"/>
          <w:lang w:val="bg-BG"/>
        </w:rPr>
        <w:t xml:space="preserve">Пазарът на тапети в Русия непрекъснато расте. Това се дължи на факта, че с увеличаването на благосъстоянието на руските граждани, търсенето на жилища нараства. </w:t>
      </w:r>
    </w:p>
    <w:p>
      <w:pPr>
        <w:pStyle w:val="NoSpacing"/>
        <w:spacing w:lineRule="auto" w:line="276"/>
        <w:ind w:firstLine="708"/>
        <w:jc w:val="both"/>
        <w:rPr/>
      </w:pPr>
      <w:r>
        <w:rPr>
          <w:rStyle w:val="InternetLink"/>
          <w:rFonts w:ascii="Verdana" w:hAnsi="Verdana"/>
          <w:color w:val="auto"/>
          <w:sz w:val="20"/>
          <w:szCs w:val="20"/>
          <w:u w:val="none"/>
          <w:lang w:val="bg-BG"/>
        </w:rPr>
        <w:t xml:space="preserve">Руските тапети са по-евтини от вносните. Сред европейските тапети най-скъпи се считат английските и френските. Освен страната производител, цената се влияе и от името на фабриката или марката. </w:t>
      </w:r>
    </w:p>
    <w:p>
      <w:pPr>
        <w:pStyle w:val="NoSpacing"/>
        <w:spacing w:lineRule="auto" w:line="276"/>
        <w:ind w:firstLine="708"/>
        <w:jc w:val="both"/>
        <w:rPr/>
      </w:pPr>
      <w:r>
        <w:rPr>
          <w:rStyle w:val="InternetLink"/>
          <w:rFonts w:ascii="Verdana" w:hAnsi="Verdana"/>
          <w:color w:val="auto"/>
          <w:sz w:val="20"/>
          <w:szCs w:val="20"/>
          <w:u w:val="none"/>
          <w:lang w:val="bg-BG"/>
        </w:rPr>
        <w:t>Темповете на развитие на пазара на тапети до голяма степен ще зависят от динамиката на развитието на пазара на жилищното строителство. През 2020 г. се прогнозира ръст на пазара от 3,2% и увеличение на пазарния обем до 212 168 тона.</w:t>
      </w:r>
    </w:p>
    <w:p>
      <w:pPr>
        <w:pStyle w:val="NoSpacing"/>
        <w:spacing w:lineRule="auto" w:line="276"/>
        <w:ind w:firstLine="708"/>
        <w:jc w:val="both"/>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center"/>
        <w:rPr>
          <w:rStyle w:val="InternetLink"/>
          <w:rFonts w:ascii="Verdana" w:hAnsi="Verdana"/>
          <w:b/>
          <w:b/>
          <w:i/>
          <w:i/>
          <w:color w:val="auto"/>
          <w:sz w:val="18"/>
          <w:szCs w:val="18"/>
          <w:u w:val="none"/>
          <w:lang w:val="bg-BG"/>
        </w:rPr>
      </w:pPr>
      <w:r>
        <w:rPr>
          <w:rFonts w:ascii="Verdana" w:hAnsi="Verdana"/>
          <w:b/>
          <w:i/>
          <w:color w:val="auto"/>
          <w:sz w:val="18"/>
          <w:szCs w:val="18"/>
          <w:u w:val="none"/>
          <w:lang w:val="bg-BG"/>
        </w:rPr>
      </w:r>
    </w:p>
    <w:p>
      <w:pPr>
        <w:pStyle w:val="NoSpacing"/>
        <w:spacing w:lineRule="auto" w:line="276"/>
        <w:ind w:firstLine="708"/>
        <w:jc w:val="center"/>
        <w:rPr>
          <w:rStyle w:val="InternetLink"/>
          <w:rFonts w:ascii="Verdana" w:hAnsi="Verdana"/>
          <w:b/>
          <w:b/>
          <w:i/>
          <w:i/>
          <w:color w:val="auto"/>
          <w:sz w:val="18"/>
          <w:szCs w:val="18"/>
          <w:u w:val="none"/>
          <w:lang w:val="bg-BG"/>
        </w:rPr>
      </w:pPr>
      <w:r>
        <w:rPr>
          <w:rFonts w:ascii="Verdana" w:hAnsi="Verdana"/>
          <w:b/>
          <w:i/>
          <w:color w:val="auto"/>
          <w:sz w:val="18"/>
          <w:szCs w:val="18"/>
          <w:u w:val="none"/>
          <w:lang w:val="bg-BG"/>
        </w:rPr>
      </w:r>
    </w:p>
    <w:p>
      <w:pPr>
        <w:pStyle w:val="NoSpacing"/>
        <w:spacing w:lineRule="auto" w:line="276"/>
        <w:ind w:firstLine="708"/>
        <w:jc w:val="center"/>
        <w:rPr/>
      </w:pPr>
      <w:r>
        <w:rPr>
          <w:rStyle w:val="InternetLink"/>
          <w:rFonts w:ascii="Verdana" w:hAnsi="Verdana"/>
          <w:b/>
          <w:i/>
          <w:color w:val="auto"/>
          <w:sz w:val="18"/>
          <w:szCs w:val="18"/>
          <w:u w:val="none"/>
          <w:lang w:val="bg-BG"/>
        </w:rPr>
        <w:t>Пазарът на тапети в РФ</w:t>
      </w:r>
    </w:p>
    <w:p>
      <w:pPr>
        <w:pStyle w:val="Normal"/>
        <w:ind w:firstLine="708"/>
        <w:jc w:val="center"/>
        <w:rPr/>
      </w:pPr>
      <w:r>
        <w:rPr/>
        <mc:AlternateContent>
          <mc:Choice Requires="wps">
            <w:drawing>
              <wp:inline distT="0" distB="0" distL="0" distR="0" wp14:anchorId="1F7B19D3">
                <wp:extent cx="4610735" cy="114998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extLst>
                            <a:ext uri="{BEBA8EAE-BF5A-486C-A8C5-ECC9F3942E4B}">
                              <a14:imgProps xmlns:a14="http://schemas.microsoft.com/office/drawing/2010/main">
                                <a14:imgLayer r:embed="rId4">
                                  <a14:imgEffect>
                                    <a14:colorTemperature colorTemp="11200"/>
                                  </a14:imgEffect>
                                </a14:imgLayer>
                              </a14:imgProps>
                            </a:ext>
                          </a:extLst>
                        </a:blip>
                        <a:srcRect l="1962" t="4844" r="23114" b="57026"/>
                        <a:stretch/>
                      </pic:blipFill>
                      <pic:spPr>
                        <a:xfrm>
                          <a:off x="0" y="0"/>
                          <a:ext cx="4610160" cy="11494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90.55pt;width:362.95pt;height:90.45pt;mso-position-vertical:top" wp14:anchorId="1F7B19D3" type="shapetype_75">
                <v:imagedata r:id="rId3" o:detectmouseclick="t"/>
                <w10:wrap type="none"/>
                <v:stroke color="#3465a4" joinstyle="round" endcap="flat"/>
              </v:shape>
            </w:pict>
          </mc:Fallback>
        </mc:AlternateContent>
      </w:r>
    </w:p>
    <w:p>
      <w:pPr>
        <w:pStyle w:val="NoSpacing"/>
        <w:spacing w:lineRule="auto" w:line="276"/>
        <w:ind w:firstLine="708"/>
        <w:jc w:val="both"/>
        <w:rPr/>
      </w:pPr>
      <w:r>
        <w:rPr>
          <w:rStyle w:val="InternetLink"/>
          <w:rFonts w:ascii="Verdana" w:hAnsi="Verdana"/>
          <w:b/>
          <w:i/>
          <w:color w:val="auto"/>
          <w:sz w:val="18"/>
          <w:szCs w:val="18"/>
          <w:u w:val="none"/>
          <w:lang w:val="bg-BG"/>
        </w:rPr>
        <w:t>Източник:</w:t>
      </w:r>
      <w:r>
        <w:rPr>
          <w:rStyle w:val="InternetLink"/>
          <w:rFonts w:ascii="Verdana" w:hAnsi="Verdana"/>
          <w:color w:val="auto"/>
          <w:sz w:val="18"/>
          <w:szCs w:val="18"/>
          <w:u w:val="none"/>
          <w:lang w:val="bg-BG"/>
        </w:rPr>
        <w:t xml:space="preserve"> </w:t>
      </w:r>
      <w:r>
        <w:rPr>
          <w:rStyle w:val="InternetLink"/>
          <w:rFonts w:ascii="Verdana" w:hAnsi="Verdana"/>
          <w:i/>
          <w:color w:val="auto"/>
          <w:sz w:val="18"/>
          <w:szCs w:val="18"/>
          <w:u w:val="none"/>
          <w:lang w:val="bg-BG"/>
        </w:rPr>
        <w:t xml:space="preserve">ПКР </w:t>
      </w:r>
      <w:r>
        <w:rPr>
          <w:rStyle w:val="InternetLink"/>
          <w:rFonts w:ascii="Verdana" w:hAnsi="Verdana"/>
          <w:i/>
          <w:color w:val="auto"/>
          <w:sz w:val="18"/>
          <w:szCs w:val="18"/>
          <w:u w:val="none"/>
          <w:lang w:val="en-US"/>
        </w:rPr>
        <w:t>prcs</w:t>
      </w:r>
      <w:r>
        <w:rPr>
          <w:rStyle w:val="InternetLink"/>
          <w:rFonts w:ascii="Verdana" w:hAnsi="Verdana"/>
          <w:i/>
          <w:color w:val="auto"/>
          <w:sz w:val="18"/>
          <w:szCs w:val="18"/>
          <w:u w:val="none"/>
          <w:lang w:val="bg-BG"/>
        </w:rPr>
        <w:t>.</w:t>
      </w:r>
      <w:r>
        <w:rPr>
          <w:rStyle w:val="InternetLink"/>
          <w:rFonts w:ascii="Verdana" w:hAnsi="Verdana"/>
          <w:i/>
          <w:color w:val="auto"/>
          <w:sz w:val="18"/>
          <w:szCs w:val="18"/>
          <w:u w:val="none"/>
          <w:lang w:val="en-US"/>
        </w:rPr>
        <w:t>ru</w:t>
      </w:r>
    </w:p>
    <w:p>
      <w:pPr>
        <w:pStyle w:val="NoSpacing"/>
        <w:spacing w:lineRule="auto" w:line="276"/>
        <w:ind w:firstLine="708"/>
        <w:jc w:val="both"/>
        <w:rPr>
          <w:rStyle w:val="InternetLink"/>
          <w:rFonts w:ascii="Verdana" w:hAnsi="Verdana"/>
          <w:i/>
          <w:i/>
          <w:color w:val="auto"/>
          <w:sz w:val="20"/>
          <w:szCs w:val="20"/>
          <w:u w:val="none"/>
        </w:rPr>
      </w:pPr>
      <w:r>
        <w:rPr>
          <w:rFonts w:ascii="Verdana" w:hAnsi="Verdana"/>
          <w:i/>
          <w:color w:val="auto"/>
          <w:sz w:val="20"/>
          <w:szCs w:val="20"/>
          <w:u w:val="none"/>
        </w:rPr>
      </w:r>
    </w:p>
    <w:p>
      <w:pPr>
        <w:pStyle w:val="NoSpacing"/>
        <w:spacing w:lineRule="auto" w:line="276"/>
        <w:ind w:firstLine="708"/>
        <w:jc w:val="center"/>
        <w:rPr/>
      </w:pPr>
      <w:r>
        <w:rPr>
          <w:rStyle w:val="InternetLink"/>
          <w:rFonts w:ascii="Verdana" w:hAnsi="Verdana"/>
          <w:b/>
          <w:i/>
          <w:color w:val="auto"/>
          <w:sz w:val="18"/>
          <w:szCs w:val="18"/>
          <w:u w:val="none"/>
        </w:rPr>
        <w:t>Динамика на пазара на тапети в РФ за периода 2012 – 2017 г.</w:t>
      </w:r>
    </w:p>
    <w:p>
      <w:pPr>
        <w:pStyle w:val="NoSpacing"/>
        <w:spacing w:lineRule="auto" w:line="276"/>
        <w:ind w:firstLine="708"/>
        <w:jc w:val="center"/>
        <w:rPr/>
      </w:pPr>
      <w:r>
        <w:rPr/>
        <w:drawing>
          <wp:inline distT="0" distB="0" distL="0" distR="0">
            <wp:extent cx="4769485" cy="889635"/>
            <wp:effectExtent l="76200" t="38100" r="0" b="10160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b/>
          <w:i/>
          <w:color w:val="auto"/>
          <w:sz w:val="18"/>
          <w:szCs w:val="18"/>
          <w:u w:val="none"/>
          <w:lang w:val="bg-BG"/>
        </w:rPr>
        <w:t>Източник:</w:t>
      </w:r>
      <w:r>
        <w:rPr>
          <w:rStyle w:val="InternetLink"/>
          <w:rFonts w:ascii="Verdana" w:hAnsi="Verdana"/>
          <w:color w:val="auto"/>
          <w:sz w:val="18"/>
          <w:szCs w:val="18"/>
          <w:u w:val="none"/>
          <w:lang w:val="bg-BG"/>
        </w:rPr>
        <w:t xml:space="preserve"> </w:t>
      </w:r>
      <w:r>
        <w:rPr>
          <w:rStyle w:val="InternetLink"/>
          <w:rFonts w:ascii="Verdana" w:hAnsi="Verdana"/>
          <w:i/>
          <w:color w:val="auto"/>
          <w:sz w:val="18"/>
          <w:szCs w:val="18"/>
          <w:u w:val="none"/>
          <w:lang w:val="bg-BG"/>
        </w:rPr>
        <w:t xml:space="preserve">ПКР </w:t>
      </w:r>
      <w:r>
        <w:rPr>
          <w:rStyle w:val="InternetLink"/>
          <w:rFonts w:ascii="Verdana" w:hAnsi="Verdana"/>
          <w:i/>
          <w:color w:val="auto"/>
          <w:sz w:val="18"/>
          <w:szCs w:val="18"/>
          <w:u w:val="none"/>
          <w:lang w:val="en-US"/>
        </w:rPr>
        <w:t>prcs</w:t>
      </w:r>
      <w:r>
        <w:rPr>
          <w:rStyle w:val="InternetLink"/>
          <w:rFonts w:ascii="Verdana" w:hAnsi="Verdana"/>
          <w:i/>
          <w:color w:val="auto"/>
          <w:sz w:val="18"/>
          <w:szCs w:val="18"/>
          <w:u w:val="none"/>
          <w:lang w:val="bg-BG"/>
        </w:rPr>
        <w:t>.</w:t>
      </w:r>
      <w:r>
        <w:rPr>
          <w:rStyle w:val="InternetLink"/>
          <w:rFonts w:ascii="Verdana" w:hAnsi="Verdana"/>
          <w:i/>
          <w:color w:val="auto"/>
          <w:sz w:val="18"/>
          <w:szCs w:val="18"/>
          <w:u w:val="none"/>
          <w:lang w:val="en-US"/>
        </w:rPr>
        <w:t>ru</w:t>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color w:val="auto"/>
          <w:sz w:val="20"/>
          <w:szCs w:val="20"/>
          <w:u w:val="none"/>
          <w:lang w:val="bg-BG"/>
        </w:rPr>
        <w:t>Според инвестиционно-аналитичната група на ПКР, обемът на вътрешното производство през тези години се е увеличил с 1,3 пъти, износът - с 3 пъти (от 5 на 15 рулона), а вносът е спаднал 2,2 пъти на фона на програмата за заместването на вноса.</w:t>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jc w:val="right"/>
        <w:rPr/>
      </w:pPr>
      <w:hyperlink r:id="rId10">
        <w:r>
          <w:rPr>
            <w:rStyle w:val="InternetLink"/>
            <w:rFonts w:ascii="Verdana" w:hAnsi="Verdana"/>
            <w:sz w:val="20"/>
            <w:szCs w:val="20"/>
            <w:lang w:val="bg-BG"/>
          </w:rPr>
          <w:t>https://www.prnews.ru/</w:t>
        </w:r>
      </w:hyperlink>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Verdan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themeColor="hyperlink"/>
      <w:u w:val="single"/>
    </w:rPr>
  </w:style>
  <w:style w:type="character" w:styleId="ListLabel248">
    <w:name w:val="ListLabel 248"/>
    <w:qFormat/>
    <w:rPr>
      <w:rFonts w:ascii="Verdana" w:hAnsi="Verdana"/>
      <w:sz w:val="20"/>
      <w:szCs w:val="20"/>
      <w:lang w:val="bg-BG"/>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qFormat/>
    <w:pPr>
      <w:widowControl/>
      <w:kinsoku w:val="true"/>
      <w:overflowPunct w:val="true"/>
      <w:autoSpaceDE w:val="true"/>
      <w:bidi w:val="0"/>
      <w:spacing w:lineRule="auto" w:line="240" w:before="0" w:after="0"/>
      <w:jc w:val="left"/>
    </w:pPr>
    <w:rPr>
      <w:rFonts w:ascii="Liberation Serif" w:hAnsi="Liberation Serif" w:eastAsia="SimSun" w:cs="Mangal"/>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microsoft.com/office/2007/relationships/hdphoto" Target="media/hdphoto1.wdp"/><Relationship Id="rId5" Type="http://schemas.openxmlformats.org/officeDocument/2006/relationships/diagramData" Target="diagrams/data3.xml"/><Relationship Id="rId6" Type="http://schemas.openxmlformats.org/officeDocument/2006/relationships/diagramLayout" Target="diagrams/layout3.xml"/><Relationship Id="rId7" Type="http://schemas.openxmlformats.org/officeDocument/2006/relationships/diagramQuickStyle" Target="diagrams/quickStyle3.xml"/><Relationship Id="rId8" Type="http://schemas.openxmlformats.org/officeDocument/2006/relationships/diagramColors" Target="diagrams/colors3.xml"/><Relationship Id="rId9" Type="http://schemas.microsoft.com/office/2007/relationships/diagramDrawing" Target="diagrams/drawing3.xml"/><Relationship Id="rId10" Type="http://schemas.openxmlformats.org/officeDocument/2006/relationships/hyperlink" Target="https://www.prnews.ru/" TargetMode="External"/><Relationship Id="rId11" Type="http://schemas.openxmlformats.org/officeDocument/2006/relationships/fontTable" Target="fontTable.xml"/><Relationship Id="rId12" Type="http://schemas.openxmlformats.org/officeDocument/2006/relationships/settings" Target="settings.xml"/>
</Relationships>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3.xml><?xml version="1.0" encoding="utf-8"?>
<dgm:dataModel xmlns:dgm="http://schemas.openxmlformats.org/drawingml/2006/diagram" xmlns:a="http://schemas.openxmlformats.org/drawingml/2006/main">
  <dgm:ptLst>
    <dgm:pt modelId="{BB473A81-C949-47CC-8475-3590A1C51F51}" type="doc">
      <dgm:prSet loTypeId="urn:microsoft.com/office/officeart/2005/8/layout/hChevron3" loCatId="process" qsTypeId="urn:microsoft.com/office/officeart/2005/8/quickstyle/simple1" qsCatId="simple" csTypeId="urn:microsoft.com/office/officeart/2005/8/colors/accent1_2" csCatId="accent1" phldr="1"/>
      <dgm:spPr/>
    </dgm:pt>
    <dgm:pt modelId="{9F3E8DD6-CF7B-47D4-B39F-7C512CC03B1B}">
      <dgm:prSet phldrT="[Текст]" custT="1">
        <dgm:style>
          <a:lnRef idx="0">
            <a:schemeClr val="accent2"/>
          </a:lnRef>
          <a:fillRef idx="3">
            <a:schemeClr val="accent2"/>
          </a:fillRef>
          <a:effectRef idx="3">
            <a:schemeClr val="accent2"/>
          </a:effectRef>
          <a:fontRef idx="minor">
            <a:schemeClr val="lt1"/>
          </a:fontRef>
        </dgm:style>
      </dgm:prSet>
      <dgm:spPr/>
      <dgm:t>
        <a:bodyPr/>
        <a:lstStyle/>
        <a:p>
          <a:r>
            <a:rPr lang="ru-RU" sz="1100" b="1">
              <a:latin typeface="Verdana" panose="020B0604030504040204" pitchFamily="34" charset="0"/>
              <a:ea typeface="Verdana" panose="020B0604030504040204" pitchFamily="34" charset="0"/>
              <a:cs typeface="Verdana" panose="020B0604030504040204" pitchFamily="34" charset="0"/>
            </a:rPr>
            <a:t>- 220%</a:t>
          </a:r>
        </a:p>
        <a:p>
          <a:r>
            <a:rPr lang="ru-RU" sz="1100">
              <a:latin typeface="Verdana" panose="020B0604030504040204" pitchFamily="34" charset="0"/>
              <a:ea typeface="Verdana" panose="020B0604030504040204" pitchFamily="34" charset="0"/>
              <a:cs typeface="Verdana" panose="020B0604030504040204" pitchFamily="34" charset="0"/>
            </a:rPr>
            <a:t> </a:t>
          </a:r>
          <a:r>
            <a:rPr lang="ru-RU" sz="1100" b="1">
              <a:latin typeface="Verdana" panose="020B0604030504040204" pitchFamily="34" charset="0"/>
              <a:ea typeface="Verdana" panose="020B0604030504040204" pitchFamily="34" charset="0"/>
              <a:cs typeface="Verdana" panose="020B0604030504040204" pitchFamily="34" charset="0"/>
            </a:rPr>
            <a:t>ИМПОРТ</a:t>
          </a:r>
        </a:p>
      </dgm:t>
    </dgm:pt>
    <dgm:pt modelId="{FD3C370D-3E84-48B5-ACA6-21047353B478}" type="parTrans" cxnId="{49340217-0159-4F9E-9E32-6D8C1DDAAA78}">
      <dgm:prSet/>
      <dgm:spPr/>
      <dgm:t>
        <a:bodyPr/>
        <a:lstStyle/>
        <a:p>
          <a:endParaRPr lang="ru-RU"/>
        </a:p>
      </dgm:t>
    </dgm:pt>
    <dgm:pt modelId="{9409070F-1C02-40DB-B373-CCCFE29765E3}" type="sibTrans" cxnId="{49340217-0159-4F9E-9E32-6D8C1DDAAA78}">
      <dgm:prSet/>
      <dgm:spPr/>
      <dgm:t>
        <a:bodyPr/>
        <a:lstStyle/>
        <a:p>
          <a:endParaRPr lang="ru-RU"/>
        </a:p>
      </dgm:t>
    </dgm:pt>
    <dgm:pt modelId="{F6A25182-9B72-4CD7-B776-313B889E33A4}">
      <dgm:prSet phldrT="[Текст]" custT="1">
        <dgm:style>
          <a:lnRef idx="0">
            <a:schemeClr val="accent3"/>
          </a:lnRef>
          <a:fillRef idx="3">
            <a:schemeClr val="accent3"/>
          </a:fillRef>
          <a:effectRef idx="3">
            <a:schemeClr val="accent3"/>
          </a:effectRef>
          <a:fontRef idx="minor">
            <a:schemeClr val="lt1"/>
          </a:fontRef>
        </dgm:style>
      </dgm:prSet>
      <dgm:spPr/>
      <dgm:t>
        <a:bodyPr/>
        <a:lstStyle/>
        <a:p>
          <a:r>
            <a:rPr lang="ru-RU" sz="1100" b="1">
              <a:latin typeface="Verdana" panose="020B0604030504040204" pitchFamily="34" charset="0"/>
              <a:ea typeface="Verdana" panose="020B0604030504040204" pitchFamily="34" charset="0"/>
              <a:cs typeface="Verdana" panose="020B0604030504040204" pitchFamily="34" charset="0"/>
            </a:rPr>
            <a:t>+ 130% </a:t>
          </a:r>
        </a:p>
        <a:p>
          <a:r>
            <a:rPr lang="ru-RU" sz="1100" b="1">
              <a:latin typeface="Verdana" panose="020B0604030504040204" pitchFamily="34" charset="0"/>
              <a:ea typeface="Verdana" panose="020B0604030504040204" pitchFamily="34" charset="0"/>
              <a:cs typeface="Verdana" panose="020B0604030504040204" pitchFamily="34" charset="0"/>
            </a:rPr>
            <a:t>ПРОИЗВОДСТВО</a:t>
          </a:r>
        </a:p>
      </dgm:t>
    </dgm:pt>
    <dgm:pt modelId="{EBA2D289-8380-4174-823A-0CB8D3F9A75C}" type="parTrans" cxnId="{7355A00A-6E4B-4622-97C0-FC35EFA839E2}">
      <dgm:prSet/>
      <dgm:spPr/>
      <dgm:t>
        <a:bodyPr/>
        <a:lstStyle/>
        <a:p>
          <a:endParaRPr lang="ru-RU"/>
        </a:p>
      </dgm:t>
    </dgm:pt>
    <dgm:pt modelId="{AF74D1CD-8EFD-44F7-9FD4-C798483034B6}" type="sibTrans" cxnId="{7355A00A-6E4B-4622-97C0-FC35EFA839E2}">
      <dgm:prSet/>
      <dgm:spPr/>
      <dgm:t>
        <a:bodyPr/>
        <a:lstStyle/>
        <a:p>
          <a:endParaRPr lang="ru-RU"/>
        </a:p>
      </dgm:t>
    </dgm:pt>
    <dgm:pt modelId="{A0E70D91-0524-4B29-82B8-E6F93130EE7D}">
      <dgm:prSet phldrT="[Текст]" custT="1">
        <dgm:style>
          <a:lnRef idx="0">
            <a:schemeClr val="accent6"/>
          </a:lnRef>
          <a:fillRef idx="3">
            <a:schemeClr val="accent6"/>
          </a:fillRef>
          <a:effectRef idx="3">
            <a:schemeClr val="accent6"/>
          </a:effectRef>
          <a:fontRef idx="minor">
            <a:schemeClr val="lt1"/>
          </a:fontRef>
        </dgm:style>
      </dgm:prSet>
      <dgm:spPr/>
      <dgm:t>
        <a:bodyPr/>
        <a:lstStyle/>
        <a:p>
          <a:r>
            <a:rPr lang="ru-RU" sz="1100" b="1">
              <a:latin typeface="Verdana" panose="020B0604030504040204" pitchFamily="34" charset="0"/>
              <a:ea typeface="Verdana" panose="020B0604030504040204" pitchFamily="34" charset="0"/>
              <a:cs typeface="Verdana" panose="020B0604030504040204" pitchFamily="34" charset="0"/>
            </a:rPr>
            <a:t>+ 300% </a:t>
          </a:r>
        </a:p>
        <a:p>
          <a:r>
            <a:rPr lang="ru-RU" sz="1100" b="1">
              <a:latin typeface="Verdana" panose="020B0604030504040204" pitchFamily="34" charset="0"/>
              <a:ea typeface="Verdana" panose="020B0604030504040204" pitchFamily="34" charset="0"/>
              <a:cs typeface="Verdana" panose="020B0604030504040204" pitchFamily="34" charset="0"/>
            </a:rPr>
            <a:t>ЕКСПОРТ</a:t>
          </a:r>
        </a:p>
      </dgm:t>
    </dgm:pt>
    <dgm:pt modelId="{AB6F75ED-00D3-42FF-8858-85D3A6B4F06D}" type="parTrans" cxnId="{06565E40-126C-493E-AAF0-83C54617AE97}">
      <dgm:prSet/>
      <dgm:spPr/>
      <dgm:t>
        <a:bodyPr/>
        <a:lstStyle/>
        <a:p>
          <a:endParaRPr lang="ru-RU"/>
        </a:p>
      </dgm:t>
    </dgm:pt>
    <dgm:pt modelId="{7E7C6513-FE0B-449E-A842-80290D705145}" type="sibTrans" cxnId="{06565E40-126C-493E-AAF0-83C54617AE97}">
      <dgm:prSet/>
      <dgm:spPr/>
      <dgm:t>
        <a:bodyPr/>
        <a:lstStyle/>
        <a:p>
          <a:endParaRPr lang="ru-RU"/>
        </a:p>
      </dgm:t>
    </dgm:pt>
    <dgm:pt modelId="{A642ADE5-693A-4AF6-88BA-8D7599F66A08}" type="pres">
      <dgm:prSet presAssocID="{BB473A81-C949-47CC-8475-3590A1C51F51}" presName="Name0" presStyleCnt="0">
        <dgm:presLayoutVars>
          <dgm:dir/>
          <dgm:resizeHandles val="exact"/>
        </dgm:presLayoutVars>
      </dgm:prSet>
      <dgm:spPr/>
    </dgm:pt>
    <dgm:pt modelId="{8BB54D07-576F-408C-9A28-EF3EAB342C49}" type="pres">
      <dgm:prSet presAssocID="{9F3E8DD6-CF7B-47D4-B39F-7C512CC03B1B}" presName="parTxOnly" presStyleLbl="node1" presStyleIdx="0" presStyleCnt="3" custScaleX="42287" custScaleY="61653">
        <dgm:presLayoutVars>
          <dgm:bulletEnabled val="1"/>
        </dgm:presLayoutVars>
      </dgm:prSet>
      <dgm:spPr/>
      <dgm:t>
        <a:bodyPr/>
        <a:lstStyle/>
        <a:p>
          <a:endParaRPr lang="ru-RU"/>
        </a:p>
      </dgm:t>
    </dgm:pt>
    <dgm:pt modelId="{9A977F90-8988-4E05-A754-07B8BE1B461B}" type="pres">
      <dgm:prSet presAssocID="{9409070F-1C02-40DB-B373-CCCFE29765E3}" presName="parSpace" presStyleCnt="0"/>
      <dgm:spPr/>
    </dgm:pt>
    <dgm:pt modelId="{D666B122-C869-4179-97C7-63F867503CC2}" type="pres">
      <dgm:prSet presAssocID="{F6A25182-9B72-4CD7-B776-313B889E33A4}" presName="parTxOnly" presStyleLbl="node1" presStyleIdx="1" presStyleCnt="3" custScaleX="71825" custScaleY="60928">
        <dgm:presLayoutVars>
          <dgm:bulletEnabled val="1"/>
        </dgm:presLayoutVars>
      </dgm:prSet>
      <dgm:spPr/>
      <dgm:t>
        <a:bodyPr/>
        <a:lstStyle/>
        <a:p>
          <a:endParaRPr lang="ru-RU"/>
        </a:p>
      </dgm:t>
    </dgm:pt>
    <dgm:pt modelId="{78A9F4C6-8652-4351-9707-41BDA5ADDCA7}" type="pres">
      <dgm:prSet presAssocID="{AF74D1CD-8EFD-44F7-9FD4-C798483034B6}" presName="parSpace" presStyleCnt="0"/>
      <dgm:spPr/>
    </dgm:pt>
    <dgm:pt modelId="{9BF9DB86-DEDE-4365-8E5A-2A41644EB24F}" type="pres">
      <dgm:prSet presAssocID="{A0E70D91-0524-4B29-82B8-E6F93130EE7D}" presName="parTxOnly" presStyleLbl="node1" presStyleIdx="2" presStyleCnt="3" custScaleX="60155" custScaleY="60202" custLinFactNeighborX="15631">
        <dgm:presLayoutVars>
          <dgm:bulletEnabled val="1"/>
        </dgm:presLayoutVars>
      </dgm:prSet>
      <dgm:spPr/>
      <dgm:t>
        <a:bodyPr/>
        <a:lstStyle/>
        <a:p>
          <a:endParaRPr lang="ru-RU"/>
        </a:p>
      </dgm:t>
    </dgm:pt>
  </dgm:ptLst>
  <dgm:cxnLst>
    <dgm:cxn modelId="{E79A24EC-30F7-4453-AB86-4188B56096D7}" type="presOf" srcId="{A0E70D91-0524-4B29-82B8-E6F93130EE7D}" destId="{9BF9DB86-DEDE-4365-8E5A-2A41644EB24F}" srcOrd="0" destOrd="0" presId="urn:microsoft.com/office/officeart/2005/8/layout/hChevron3"/>
    <dgm:cxn modelId="{06565E40-126C-493E-AAF0-83C54617AE97}" srcId="{BB473A81-C949-47CC-8475-3590A1C51F51}" destId="{A0E70D91-0524-4B29-82B8-E6F93130EE7D}" srcOrd="2" destOrd="0" parTransId="{AB6F75ED-00D3-42FF-8858-85D3A6B4F06D}" sibTransId="{7E7C6513-FE0B-449E-A842-80290D705145}"/>
    <dgm:cxn modelId="{7355A00A-6E4B-4622-97C0-FC35EFA839E2}" srcId="{BB473A81-C949-47CC-8475-3590A1C51F51}" destId="{F6A25182-9B72-4CD7-B776-313B889E33A4}" srcOrd="1" destOrd="0" parTransId="{EBA2D289-8380-4174-823A-0CB8D3F9A75C}" sibTransId="{AF74D1CD-8EFD-44F7-9FD4-C798483034B6}"/>
    <dgm:cxn modelId="{AE9C2113-3EB5-4415-8970-34C1FC649F72}" type="presOf" srcId="{9F3E8DD6-CF7B-47D4-B39F-7C512CC03B1B}" destId="{8BB54D07-576F-408C-9A28-EF3EAB342C49}" srcOrd="0" destOrd="0" presId="urn:microsoft.com/office/officeart/2005/8/layout/hChevron3"/>
    <dgm:cxn modelId="{49340217-0159-4F9E-9E32-6D8C1DDAAA78}" srcId="{BB473A81-C949-47CC-8475-3590A1C51F51}" destId="{9F3E8DD6-CF7B-47D4-B39F-7C512CC03B1B}" srcOrd="0" destOrd="0" parTransId="{FD3C370D-3E84-48B5-ACA6-21047353B478}" sibTransId="{9409070F-1C02-40DB-B373-CCCFE29765E3}"/>
    <dgm:cxn modelId="{15EF5F2F-4E08-42EF-8EF3-686A0E419D34}" type="presOf" srcId="{BB473A81-C949-47CC-8475-3590A1C51F51}" destId="{A642ADE5-693A-4AF6-88BA-8D7599F66A08}" srcOrd="0" destOrd="0" presId="urn:microsoft.com/office/officeart/2005/8/layout/hChevron3"/>
    <dgm:cxn modelId="{B8E0720E-D674-419A-835A-F4E8D6C487FE}" type="presOf" srcId="{F6A25182-9B72-4CD7-B776-313B889E33A4}" destId="{D666B122-C869-4179-97C7-63F867503CC2}" srcOrd="0" destOrd="0" presId="urn:microsoft.com/office/officeart/2005/8/layout/hChevron3"/>
    <dgm:cxn modelId="{02493BD3-730E-4F56-9408-33968113FCAE}" type="presParOf" srcId="{A642ADE5-693A-4AF6-88BA-8D7599F66A08}" destId="{8BB54D07-576F-408C-9A28-EF3EAB342C49}" srcOrd="0" destOrd="0" presId="urn:microsoft.com/office/officeart/2005/8/layout/hChevron3"/>
    <dgm:cxn modelId="{EBD3F01A-4EFD-4F3B-93E3-7B44314FDFCD}" type="presParOf" srcId="{A642ADE5-693A-4AF6-88BA-8D7599F66A08}" destId="{9A977F90-8988-4E05-A754-07B8BE1B461B}" srcOrd="1" destOrd="0" presId="urn:microsoft.com/office/officeart/2005/8/layout/hChevron3"/>
    <dgm:cxn modelId="{A3537EB3-4FB1-49E7-A865-FD7935315AE9}" type="presParOf" srcId="{A642ADE5-693A-4AF6-88BA-8D7599F66A08}" destId="{D666B122-C869-4179-97C7-63F867503CC2}" srcOrd="2" destOrd="0" presId="urn:microsoft.com/office/officeart/2005/8/layout/hChevron3"/>
    <dgm:cxn modelId="{3335A023-07F7-4142-9F0D-C48989E74854}" type="presParOf" srcId="{A642ADE5-693A-4AF6-88BA-8D7599F66A08}" destId="{78A9F4C6-8652-4351-9707-41BDA5ADDCA7}" srcOrd="3" destOrd="0" presId="urn:microsoft.com/office/officeart/2005/8/layout/hChevron3"/>
    <dgm:cxn modelId="{F8FE8FCA-1C0D-427A-9C37-A4534AC736D4}" type="presParOf" srcId="{A642ADE5-693A-4AF6-88BA-8D7599F66A08}" destId="{9BF9DB86-DEDE-4365-8E5A-2A41644EB24F}" srcOrd="4" destOrd="0" presId="urn:microsoft.com/office/officeart/2005/8/layout/hChevro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B54D07-576F-408C-9A28-EF3EAB342C49}">
      <dsp:nvSpPr>
        <dsp:cNvPr id="0" name=""/>
        <dsp:cNvSpPr/>
      </dsp:nvSpPr>
      <dsp:spPr>
        <a:xfrm>
          <a:off x="2061" y="6924"/>
          <a:ext cx="1500636" cy="875150"/>
        </a:xfrm>
        <a:prstGeom prst="homePlate">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ru-RU" sz="1100" b="1" kern="1200">
              <a:latin typeface="Verdana" panose="020B0604030504040204" pitchFamily="34" charset="0"/>
              <a:ea typeface="Verdana" panose="020B0604030504040204" pitchFamily="34" charset="0"/>
              <a:cs typeface="Verdana" panose="020B0604030504040204" pitchFamily="34" charset="0"/>
            </a:rPr>
            <a:t>- 220%</a:t>
          </a:r>
        </a:p>
        <a:p>
          <a:pPr lvl="0" algn="ctr" defTabSz="488950">
            <a:lnSpc>
              <a:spcPct val="90000"/>
            </a:lnSpc>
            <a:spcBef>
              <a:spcPct val="0"/>
            </a:spcBef>
            <a:spcAft>
              <a:spcPct val="35000"/>
            </a:spcAft>
          </a:pPr>
          <a:r>
            <a:rPr lang="ru-RU" sz="1100" kern="1200">
              <a:latin typeface="Verdana" panose="020B0604030504040204" pitchFamily="34" charset="0"/>
              <a:ea typeface="Verdana" panose="020B0604030504040204" pitchFamily="34" charset="0"/>
              <a:cs typeface="Verdana" panose="020B0604030504040204" pitchFamily="34" charset="0"/>
            </a:rPr>
            <a:t> </a:t>
          </a:r>
          <a:r>
            <a:rPr lang="ru-RU" sz="1100" b="1" kern="1200">
              <a:latin typeface="Verdana" panose="020B0604030504040204" pitchFamily="34" charset="0"/>
              <a:ea typeface="Verdana" panose="020B0604030504040204" pitchFamily="34" charset="0"/>
              <a:cs typeface="Verdana" panose="020B0604030504040204" pitchFamily="34" charset="0"/>
            </a:rPr>
            <a:t>ИМПОРТ</a:t>
          </a:r>
        </a:p>
      </dsp:txBody>
      <dsp:txXfrm>
        <a:off x="2061" y="6924"/>
        <a:ext cx="1281849" cy="875150"/>
      </dsp:txXfrm>
    </dsp:sp>
    <dsp:sp modelId="{D666B122-C869-4179-97C7-63F867503CC2}">
      <dsp:nvSpPr>
        <dsp:cNvPr id="0" name=""/>
        <dsp:cNvSpPr/>
      </dsp:nvSpPr>
      <dsp:spPr>
        <a:xfrm>
          <a:off x="792959" y="12070"/>
          <a:ext cx="2548850" cy="864859"/>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ru-RU" sz="1100" b="1" kern="1200">
              <a:latin typeface="Verdana" panose="020B0604030504040204" pitchFamily="34" charset="0"/>
              <a:ea typeface="Verdana" panose="020B0604030504040204" pitchFamily="34" charset="0"/>
              <a:cs typeface="Verdana" panose="020B0604030504040204" pitchFamily="34" charset="0"/>
            </a:rPr>
            <a:t>+ 130% </a:t>
          </a:r>
        </a:p>
        <a:p>
          <a:pPr lvl="0" algn="ctr" defTabSz="488950">
            <a:lnSpc>
              <a:spcPct val="90000"/>
            </a:lnSpc>
            <a:spcBef>
              <a:spcPct val="0"/>
            </a:spcBef>
            <a:spcAft>
              <a:spcPct val="35000"/>
            </a:spcAft>
          </a:pPr>
          <a:r>
            <a:rPr lang="ru-RU" sz="1100" b="1" kern="1200">
              <a:latin typeface="Verdana" panose="020B0604030504040204" pitchFamily="34" charset="0"/>
              <a:ea typeface="Verdana" panose="020B0604030504040204" pitchFamily="34" charset="0"/>
              <a:cs typeface="Verdana" panose="020B0604030504040204" pitchFamily="34" charset="0"/>
            </a:rPr>
            <a:t>ПРОИЗВОДСТВО</a:t>
          </a:r>
        </a:p>
      </dsp:txBody>
      <dsp:txXfrm>
        <a:off x="1225389" y="12070"/>
        <a:ext cx="1683991" cy="864859"/>
      </dsp:txXfrm>
    </dsp:sp>
    <dsp:sp modelId="{9BF9DB86-DEDE-4365-8E5A-2A41644EB24F}">
      <dsp:nvSpPr>
        <dsp:cNvPr id="0" name=""/>
        <dsp:cNvSpPr/>
      </dsp:nvSpPr>
      <dsp:spPr>
        <a:xfrm>
          <a:off x="2634132" y="17222"/>
          <a:ext cx="2134717" cy="854554"/>
        </a:xfrm>
        <a:prstGeom prst="chevron">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ru-RU" sz="1100" b="1" kern="1200">
              <a:latin typeface="Verdana" panose="020B0604030504040204" pitchFamily="34" charset="0"/>
              <a:ea typeface="Verdana" panose="020B0604030504040204" pitchFamily="34" charset="0"/>
              <a:cs typeface="Verdana" panose="020B0604030504040204" pitchFamily="34" charset="0"/>
            </a:rPr>
            <a:t>+ 300% </a:t>
          </a:r>
        </a:p>
        <a:p>
          <a:pPr lvl="0" algn="ctr" defTabSz="488950">
            <a:lnSpc>
              <a:spcPct val="90000"/>
            </a:lnSpc>
            <a:spcBef>
              <a:spcPct val="0"/>
            </a:spcBef>
            <a:spcAft>
              <a:spcPct val="35000"/>
            </a:spcAft>
          </a:pPr>
          <a:r>
            <a:rPr lang="ru-RU" sz="1100" b="1" kern="1200">
              <a:latin typeface="Verdana" panose="020B0604030504040204" pitchFamily="34" charset="0"/>
              <a:ea typeface="Verdana" panose="020B0604030504040204" pitchFamily="34" charset="0"/>
              <a:cs typeface="Verdana" panose="020B0604030504040204" pitchFamily="34" charset="0"/>
            </a:rPr>
            <a:t>ЕКСПОРТ</a:t>
          </a:r>
        </a:p>
      </dsp:txBody>
      <dsp:txXfrm>
        <a:off x="3061409" y="17222"/>
        <a:ext cx="1280163" cy="854554"/>
      </dsp:txXfrm>
    </dsp:sp>
  </dsp:spTree>
</dsp:drawing>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2</Pages>
  <Words>442</Words>
  <Characters>2199</Characters>
  <CharactersWithSpaces>2629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2019-04-15T17:28:07Z</dcterms:modified>
  <cp:revision>1</cp:revision>
  <dc:subject/>
  <dc:title/>
</cp:coreProperties>
</file>