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6F" w:rsidRPr="003269DD" w:rsidRDefault="0070776F" w:rsidP="0070776F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  <w:r w:rsidRPr="003269DD">
        <w:rPr>
          <w:rFonts w:ascii="Times New Roman" w:eastAsia="Times New Roman" w:hAnsi="Times New Roman" w:cs="Times New Roman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3A8B3939" wp14:editId="0A1F1235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142490" cy="1651000"/>
            <wp:effectExtent l="0" t="0" r="0" b="6350"/>
            <wp:wrapSquare wrapText="bothSides"/>
            <wp:docPr id="5" name="irc_mi" descr="http://hotelcomapedrosa.com/wp-content/uploads/2014/02/4746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telcomapedrosa.com/wp-content/uploads/2014/02/4746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9DD">
        <w:rPr>
          <w:rStyle w:val="hps"/>
          <w:rFonts w:ascii="Verdana" w:hAnsi="Verdana"/>
          <w:b/>
          <w:sz w:val="20"/>
          <w:szCs w:val="20"/>
          <w:lang w:val="bg-BG"/>
        </w:rPr>
        <w:t>АНАЛИЗ НА ТУРИСТИЧЕСКОТО ТЪРСЕНЕ НА РУСКИЯ ПАЗАР</w:t>
      </w:r>
    </w:p>
    <w:p w:rsidR="0070776F" w:rsidRPr="003269DD" w:rsidRDefault="0070776F" w:rsidP="0070776F">
      <w:pPr>
        <w:spacing w:after="0" w:line="240" w:lineRule="auto"/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70776F" w:rsidRPr="003269DD" w:rsidRDefault="0070776F" w:rsidP="0070776F">
      <w:pPr>
        <w:pStyle w:val="a3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 xml:space="preserve">Руснаците, които са свикнали да прекарат Новогодишните празници в чужбина, сега предпочитат да празнуват в своите курорти и да резервират сами полетите си, въпреки рекордното покачване на цените на самолетните билети до 25%. </w:t>
      </w:r>
    </w:p>
    <w:p w:rsidR="0070776F" w:rsidRPr="003269DD" w:rsidRDefault="0070776F" w:rsidP="0070776F">
      <w:pPr>
        <w:pStyle w:val="a3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>Според статистиката на изследователската компания Intelligent Researchfor Growth, сега за влошаване на финансовото състояние говорят 49% от руснаците. Решение да икономисват са взели 69% от анкетираните. Според IRG в близко време 47% от руснаците ще се откажат да пътуват. Причината да икономисват от туристически пътувания в предстоящите Новогодишни празници е свързано с поскъпването на валутата: от началото на 2014 г. стойността на долара спрямо рублата се е увеличила с 25%, еврото - на 20%.</w:t>
      </w:r>
    </w:p>
    <w:p w:rsidR="003269DD" w:rsidRDefault="003269DD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en-US"/>
        </w:rPr>
      </w:pP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>Пропорционално се увеличава и стойността за туристическите пакети. Влошаването на икономическата ситуация, масовото банкрутиране на туристически фирми и налагането на санкции на Русия ще струва на туроператорите около 38% от клиентите. Първоначално туроператорите са разчитали да изпратят в чужбина до края на 2014 г. около 18 милиона души, сега тази прогноза е променена на 10-11 милиона. Продажбите на организираните турове в чужбина за Новогодишните празници тази година ще намалеят с 30-36%. Основно ще има спад в търсенето на европейски ски курорти. Традиционно, продажбите на Новогодишни турове започват през септември и завършват към началото на декември. Тази година ситуацията е различна - продажбите във всички направления сега са с марш по-малък от две седмици. Някои туристически агенции вече са обявили намерението си да снижат цените с 30% на предложенията си за руските туристи за зимния сезон.</w:t>
      </w: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 xml:space="preserve">В сегмент аза самостоятелни резервации за почивка, спадът е забележимо по-малък. Според Synovate Comcon, за последните две години и половина, делът на независимите туристи от Русия се е увеличил с 5%. Сега по този начин в чужбина пътуват около 25% от туристите. Според анализатори на Hotels.com, броят на търсенията за Новогодишните празници тази година се е увеличил с 37%, в сравнение с есента на 2013 г. </w:t>
      </w:r>
    </w:p>
    <w:p w:rsidR="003269DD" w:rsidRDefault="003269DD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en-US"/>
        </w:rPr>
      </w:pP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>Поскъпването на туристическите турове в чужбина и нарастващата популярност на вътрешните дестинации измениха географската туристическа карта на най-популярните туристически дестинации за руските туристи. Според статистическата система за търсене и резервиране на турове Sletat.ru, абсолютен лидер през октомври е Египет - 30% от всички заявки. Най-значителен спад по брой на заявки има в традиционно популярните сред руските туристи европейски държави: Австрия (-64,1%), Италия (-45,5%), Гърция (-44.2%) и Испания</w:t>
      </w:r>
    </w:p>
    <w:p w:rsidR="0070776F" w:rsidRPr="003269DD" w:rsidRDefault="0070776F" w:rsidP="0070776F">
      <w:pPr>
        <w:pStyle w:val="a3"/>
        <w:spacing w:line="276" w:lineRule="auto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>(-3,4%). Списъкът на другите атрактивни дестинации сред руските туристи практически не се е променил - Прага, Талин, Париж, Патая, Дубай и Хелзинки.</w:t>
      </w:r>
    </w:p>
    <w:p w:rsidR="003269DD" w:rsidRDefault="003269DD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en-US"/>
        </w:rPr>
      </w:pP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Style w:val="hps"/>
          <w:rFonts w:ascii="Verdana" w:hAnsi="Verdana"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sz w:val="20"/>
          <w:szCs w:val="20"/>
          <w:lang w:val="bg-BG"/>
        </w:rPr>
        <w:t>Броят на заявки за турове по страната се е увеличил със 140% в сравнение с октомври миналата година. Най-популярни дестинации за периода на Новогодишните празници са Сочи и Симферопол.</w:t>
      </w:r>
    </w:p>
    <w:p w:rsidR="0070776F" w:rsidRPr="003269DD" w:rsidRDefault="0070776F" w:rsidP="0070776F">
      <w:pPr>
        <w:pStyle w:val="a3"/>
        <w:spacing w:line="276" w:lineRule="auto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0776F" w:rsidRPr="003269DD" w:rsidRDefault="0070776F" w:rsidP="0070776F">
      <w:pPr>
        <w:jc w:val="center"/>
        <w:rPr>
          <w:rStyle w:val="hps"/>
          <w:rFonts w:ascii="Verdana" w:hAnsi="Verdana"/>
          <w:i/>
          <w:sz w:val="20"/>
          <w:szCs w:val="20"/>
          <w:lang w:val="bg-BG"/>
        </w:rPr>
      </w:pPr>
      <w:r w:rsidRPr="003269DD">
        <w:rPr>
          <w:rFonts w:ascii="Verdana" w:hAnsi="Verdana"/>
          <w:i/>
          <w:sz w:val="20"/>
          <w:szCs w:val="20"/>
          <w:lang w:val="bg-BG"/>
        </w:rPr>
        <w:lastRenderedPageBreak/>
        <w:t xml:space="preserve">Запитвания за различни страни по </w:t>
      </w:r>
      <w:r w:rsidRPr="003269DD">
        <w:rPr>
          <w:rStyle w:val="hps"/>
          <w:rFonts w:ascii="Verdana" w:hAnsi="Verdana"/>
          <w:i/>
          <w:sz w:val="20"/>
          <w:szCs w:val="20"/>
          <w:lang w:val="bg-BG"/>
        </w:rPr>
        <w:t>данни от статистическата система за търсене и резервиране на турове sletat.ru: сравнителен анализ за Октомври-2014 и Октомври-2013 г.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4"/>
        <w:gridCol w:w="2036"/>
        <w:gridCol w:w="2037"/>
        <w:gridCol w:w="2037"/>
      </w:tblGrid>
      <w:tr w:rsidR="003269DD" w:rsidRPr="003269DD" w:rsidTr="003269DD">
        <w:trPr>
          <w:trHeight w:val="739"/>
          <w:jc w:val="center"/>
        </w:trPr>
        <w:tc>
          <w:tcPr>
            <w:tcW w:w="3234" w:type="dxa"/>
            <w:shd w:val="clear" w:color="auto" w:fill="F2DBDB" w:themeFill="accent2" w:themeFillTint="33"/>
            <w:vAlign w:val="center"/>
          </w:tcPr>
          <w:p w:rsidR="0070776F" w:rsidRPr="003269DD" w:rsidRDefault="0070776F" w:rsidP="00EC149D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Страни</w:t>
            </w:r>
          </w:p>
        </w:tc>
        <w:tc>
          <w:tcPr>
            <w:tcW w:w="2036" w:type="dxa"/>
            <w:shd w:val="clear" w:color="auto" w:fill="F2DBDB" w:themeFill="accent2" w:themeFillTint="33"/>
            <w:vAlign w:val="center"/>
          </w:tcPr>
          <w:p w:rsidR="0070776F" w:rsidRPr="003269DD" w:rsidRDefault="0070776F" w:rsidP="00EC149D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2013 г.</w:t>
            </w:r>
          </w:p>
        </w:tc>
        <w:tc>
          <w:tcPr>
            <w:tcW w:w="2037" w:type="dxa"/>
            <w:shd w:val="clear" w:color="auto" w:fill="F2DBDB" w:themeFill="accent2" w:themeFillTint="33"/>
            <w:vAlign w:val="center"/>
          </w:tcPr>
          <w:p w:rsidR="0070776F" w:rsidRPr="003269DD" w:rsidRDefault="0070776F" w:rsidP="00EC149D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2014 г.</w:t>
            </w:r>
          </w:p>
        </w:tc>
        <w:tc>
          <w:tcPr>
            <w:tcW w:w="2037" w:type="dxa"/>
            <w:shd w:val="clear" w:color="auto" w:fill="F2DBDB" w:themeFill="accent2" w:themeFillTint="33"/>
            <w:vAlign w:val="center"/>
          </w:tcPr>
          <w:p w:rsidR="0070776F" w:rsidRPr="003269DD" w:rsidRDefault="0070776F" w:rsidP="00EC149D">
            <w:pPr>
              <w:jc w:val="center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% изменения 2014/2013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Египет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4 800 411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11 545 482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104,5%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Тайланд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3 953 939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4 699 401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18,9%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Турция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2 640 428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3 427 385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29,8%</w:t>
            </w:r>
          </w:p>
        </w:tc>
      </w:tr>
      <w:tr w:rsidR="003269DD" w:rsidRPr="003269DD" w:rsidTr="003269DD">
        <w:trPr>
          <w:trHeight w:val="390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Виетнам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964 667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2 776 644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187,8%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ОАЕ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2 350 030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2 431 171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3,5%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Индия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1 572 265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1 761 406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12,0%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Доминиканска република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911 692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1 020 672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12,0%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Чехия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970 349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847 790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-12,6%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Кипър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947 699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692 161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-27,0%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Испания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971 072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646 975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-33,4%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Мексико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508 762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558 189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9,7%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Италия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958 876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522 817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-45,5%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Гърция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931 688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519 607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-44,2%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Шри-Ланка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672 792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450 250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-33,1%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Куба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526 766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377 082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-28,4%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Франция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551 363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361 202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-34,5%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Тунис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850 534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351 062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-58,7%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Малдивски острови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657 753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344 721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-47,6%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Израел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982 791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307 632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-68,7%</w:t>
            </w:r>
          </w:p>
        </w:tc>
      </w:tr>
      <w:tr w:rsidR="003269DD" w:rsidRPr="003269DD" w:rsidTr="003269DD">
        <w:trPr>
          <w:trHeight w:val="390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Китай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481 987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304 198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-36,9%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Русия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368 553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249 134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-32,4%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Индонезия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496 625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235 635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-52,6%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FC000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България</w:t>
            </w:r>
          </w:p>
        </w:tc>
        <w:tc>
          <w:tcPr>
            <w:tcW w:w="2036" w:type="dxa"/>
            <w:shd w:val="clear" w:color="auto" w:fill="FFC000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422 328</w:t>
            </w:r>
          </w:p>
        </w:tc>
        <w:tc>
          <w:tcPr>
            <w:tcW w:w="2037" w:type="dxa"/>
            <w:shd w:val="clear" w:color="auto" w:fill="FFC000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195 619</w:t>
            </w:r>
          </w:p>
        </w:tc>
        <w:tc>
          <w:tcPr>
            <w:tcW w:w="2037" w:type="dxa"/>
            <w:shd w:val="clear" w:color="auto" w:fill="FFC000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-53,7%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Австрия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492 326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176 754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-64,1%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Андора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173 540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166 832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-3,9%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Унгария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328 294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126 500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-61,5%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Германия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309 222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123 679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-60,0%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Република Сейшели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266 723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104 311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-60,9%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Мароко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260 981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103 550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-60,3%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Абхазия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226 323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103 270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-54,4%</w:t>
            </w:r>
          </w:p>
        </w:tc>
      </w:tr>
      <w:tr w:rsidR="003269DD" w:rsidRPr="003269DD" w:rsidTr="003269DD">
        <w:trPr>
          <w:trHeight w:val="371"/>
          <w:jc w:val="center"/>
        </w:trPr>
        <w:tc>
          <w:tcPr>
            <w:tcW w:w="3234" w:type="dxa"/>
            <w:shd w:val="clear" w:color="auto" w:fill="F2DBDB" w:themeFill="accent2" w:themeFillTint="33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Други страни</w:t>
            </w:r>
          </w:p>
        </w:tc>
        <w:tc>
          <w:tcPr>
            <w:tcW w:w="2036" w:type="dxa"/>
            <w:shd w:val="clear" w:color="auto" w:fill="EAF1DD" w:themeFill="accent3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7 701 539</w:t>
            </w:r>
          </w:p>
        </w:tc>
        <w:tc>
          <w:tcPr>
            <w:tcW w:w="2037" w:type="dxa"/>
            <w:shd w:val="clear" w:color="auto" w:fill="DBE5F1" w:themeFill="accent1" w:themeFillTint="33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2 260 764</w:t>
            </w:r>
          </w:p>
        </w:tc>
        <w:tc>
          <w:tcPr>
            <w:tcW w:w="2037" w:type="dxa"/>
            <w:shd w:val="clear" w:color="auto" w:fill="F2F2F2" w:themeFill="background1" w:themeFillShade="F2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sz w:val="20"/>
                <w:szCs w:val="20"/>
                <w:lang w:val="bg-BG"/>
              </w:rPr>
              <w:t>-70,6%</w:t>
            </w:r>
          </w:p>
        </w:tc>
      </w:tr>
      <w:tr w:rsidR="003269DD" w:rsidRPr="003269DD" w:rsidTr="003269DD">
        <w:trPr>
          <w:trHeight w:val="390"/>
          <w:jc w:val="center"/>
        </w:trPr>
        <w:tc>
          <w:tcPr>
            <w:tcW w:w="3234" w:type="dxa"/>
            <w:shd w:val="clear" w:color="auto" w:fill="E5B8B7" w:themeFill="accent2" w:themeFillTint="66"/>
          </w:tcPr>
          <w:p w:rsidR="0070776F" w:rsidRPr="003269DD" w:rsidRDefault="0070776F" w:rsidP="00EC149D">
            <w:pPr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ОБЩО:</w:t>
            </w:r>
          </w:p>
        </w:tc>
        <w:tc>
          <w:tcPr>
            <w:tcW w:w="2036" w:type="dxa"/>
            <w:shd w:val="clear" w:color="auto" w:fill="E5B8B7" w:themeFill="accent2" w:themeFillTint="66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38 252 309</w:t>
            </w:r>
          </w:p>
        </w:tc>
        <w:tc>
          <w:tcPr>
            <w:tcW w:w="2037" w:type="dxa"/>
            <w:shd w:val="clear" w:color="auto" w:fill="E5B8B7" w:themeFill="accent2" w:themeFillTint="66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37 791 895</w:t>
            </w:r>
          </w:p>
        </w:tc>
        <w:tc>
          <w:tcPr>
            <w:tcW w:w="2037" w:type="dxa"/>
            <w:shd w:val="clear" w:color="auto" w:fill="E5B8B7" w:themeFill="accent2" w:themeFillTint="66"/>
          </w:tcPr>
          <w:p w:rsidR="0070776F" w:rsidRPr="003269DD" w:rsidRDefault="0070776F" w:rsidP="00EC149D">
            <w:pPr>
              <w:jc w:val="right"/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</w:pPr>
            <w:r w:rsidRPr="003269DD">
              <w:rPr>
                <w:rStyle w:val="hps"/>
                <w:rFonts w:ascii="Verdana" w:hAnsi="Verdana"/>
                <w:b/>
                <w:sz w:val="20"/>
                <w:szCs w:val="20"/>
                <w:lang w:val="bg-BG"/>
              </w:rPr>
              <w:t>-1,2%</w:t>
            </w:r>
          </w:p>
        </w:tc>
      </w:tr>
    </w:tbl>
    <w:p w:rsidR="0070776F" w:rsidRPr="003269DD" w:rsidRDefault="0070776F" w:rsidP="0070776F">
      <w:pPr>
        <w:jc w:val="center"/>
        <w:rPr>
          <w:rStyle w:val="hps"/>
          <w:rFonts w:ascii="Verdana" w:hAnsi="Verdana"/>
          <w:i/>
          <w:sz w:val="20"/>
          <w:szCs w:val="20"/>
          <w:lang w:val="bg-BG"/>
        </w:rPr>
      </w:pPr>
    </w:p>
    <w:p w:rsidR="0070776F" w:rsidRPr="003269DD" w:rsidRDefault="0070776F" w:rsidP="0070776F">
      <w:pPr>
        <w:jc w:val="center"/>
        <w:rPr>
          <w:rStyle w:val="hps"/>
          <w:rFonts w:ascii="Verdana" w:hAnsi="Verdana"/>
          <w:i/>
          <w:sz w:val="20"/>
          <w:szCs w:val="20"/>
          <w:lang w:val="bg-BG"/>
        </w:rPr>
      </w:pPr>
      <w:r w:rsidRPr="003269DD">
        <w:rPr>
          <w:rStyle w:val="hps"/>
          <w:rFonts w:ascii="Verdana" w:hAnsi="Verdana"/>
          <w:i/>
          <w:sz w:val="20"/>
          <w:szCs w:val="20"/>
          <w:lang w:val="bg-BG"/>
        </w:rPr>
        <w:lastRenderedPageBreak/>
        <w:t>Разпределение на запитванията за различни страни по данни от статистическата система за търсене и резервиране на турове sletat.ru:сравнителен анализ за Октомври-2014 г. (ТОП – 30 направления).</w:t>
      </w:r>
      <w:bookmarkStart w:id="0" w:name="_GoBack"/>
      <w:r w:rsidRPr="003269DD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650A2E34" wp14:editId="529B6E83">
            <wp:extent cx="5151120" cy="4282440"/>
            <wp:effectExtent l="0" t="0" r="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0776F" w:rsidRPr="003269DD" w:rsidRDefault="0070776F" w:rsidP="0070776F">
      <w:pPr>
        <w:pStyle w:val="a3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  <w:r w:rsidRPr="003269DD">
        <w:rPr>
          <w:rFonts w:ascii="Verdana" w:hAnsi="Verdana"/>
          <w:i/>
          <w:sz w:val="20"/>
          <w:szCs w:val="20"/>
          <w:lang w:val="bg-BG"/>
        </w:rPr>
        <w:t>Изменение на количествата запитвания от агентства в статистическата система за търсене и резервиране на турове sletat.ru по календарни месеци в сравнение 2013/2014 г.</w:t>
      </w:r>
    </w:p>
    <w:p w:rsidR="0070776F" w:rsidRPr="003269DD" w:rsidRDefault="0070776F" w:rsidP="0070776F">
      <w:pPr>
        <w:pStyle w:val="a3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70776F" w:rsidRPr="003269DD" w:rsidRDefault="0070776F" w:rsidP="0070776F">
      <w:pPr>
        <w:pStyle w:val="a3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  <w:r w:rsidRPr="003269DD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2FEB6777" wp14:editId="74ED0BD5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76F" w:rsidRPr="003269DD" w:rsidRDefault="0070776F" w:rsidP="0070776F">
      <w:pPr>
        <w:pStyle w:val="a3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</w:p>
    <w:p w:rsidR="00950908" w:rsidRPr="003269DD" w:rsidRDefault="0070776F" w:rsidP="003269DD">
      <w:pPr>
        <w:spacing w:line="240" w:lineRule="auto"/>
        <w:jc w:val="right"/>
        <w:rPr>
          <w:sz w:val="20"/>
          <w:szCs w:val="20"/>
          <w:lang w:val="bg-BG"/>
        </w:rPr>
      </w:pPr>
      <w:hyperlink r:id="rId9" w:history="1">
        <w:r w:rsidRPr="003269DD">
          <w:rPr>
            <w:rStyle w:val="a5"/>
            <w:rFonts w:ascii="Verdana" w:hAnsi="Verdana"/>
            <w:sz w:val="20"/>
            <w:szCs w:val="20"/>
            <w:lang w:val="bg-BG"/>
          </w:rPr>
          <w:t>www.atorus.ru</w:t>
        </w:r>
      </w:hyperlink>
      <w:hyperlink r:id="rId10" w:history="1">
        <w:r w:rsidRPr="003269DD">
          <w:rPr>
            <w:rStyle w:val="a5"/>
            <w:rFonts w:ascii="Verdana" w:hAnsi="Verdana"/>
            <w:sz w:val="20"/>
            <w:szCs w:val="20"/>
            <w:lang w:val="bg-BG"/>
          </w:rPr>
          <w:t>www.sletat.ru</w:t>
        </w:r>
      </w:hyperlink>
      <w:hyperlink r:id="rId11" w:history="1">
        <w:r w:rsidRPr="003269DD">
          <w:rPr>
            <w:rStyle w:val="a5"/>
            <w:rFonts w:ascii="Verdana" w:hAnsi="Verdana"/>
            <w:sz w:val="20"/>
            <w:szCs w:val="20"/>
            <w:lang w:val="bg-BG"/>
          </w:rPr>
          <w:t>www.kommersant.ru</w:t>
        </w:r>
      </w:hyperlink>
    </w:p>
    <w:sectPr w:rsidR="00950908" w:rsidRPr="003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2"/>
    <w:rsid w:val="00017543"/>
    <w:rsid w:val="000505D5"/>
    <w:rsid w:val="0009214D"/>
    <w:rsid w:val="000B6636"/>
    <w:rsid w:val="000C2252"/>
    <w:rsid w:val="000C47D2"/>
    <w:rsid w:val="00113BBD"/>
    <w:rsid w:val="001302E3"/>
    <w:rsid w:val="00130AA0"/>
    <w:rsid w:val="00133F0E"/>
    <w:rsid w:val="001718AD"/>
    <w:rsid w:val="00173000"/>
    <w:rsid w:val="001C19CA"/>
    <w:rsid w:val="00227C5E"/>
    <w:rsid w:val="0029288B"/>
    <w:rsid w:val="00293949"/>
    <w:rsid w:val="002E0469"/>
    <w:rsid w:val="002E7011"/>
    <w:rsid w:val="002F3E1B"/>
    <w:rsid w:val="00302DAB"/>
    <w:rsid w:val="0031377F"/>
    <w:rsid w:val="003269DD"/>
    <w:rsid w:val="0033327F"/>
    <w:rsid w:val="0035221A"/>
    <w:rsid w:val="00374240"/>
    <w:rsid w:val="003917BD"/>
    <w:rsid w:val="003E35B3"/>
    <w:rsid w:val="00456EA3"/>
    <w:rsid w:val="00475583"/>
    <w:rsid w:val="00480BC2"/>
    <w:rsid w:val="00480D3E"/>
    <w:rsid w:val="004A0612"/>
    <w:rsid w:val="004D37E6"/>
    <w:rsid w:val="00536AD7"/>
    <w:rsid w:val="00537AAF"/>
    <w:rsid w:val="005649F0"/>
    <w:rsid w:val="00594D57"/>
    <w:rsid w:val="005A0D2C"/>
    <w:rsid w:val="005A5D85"/>
    <w:rsid w:val="005A75F2"/>
    <w:rsid w:val="005D7C6B"/>
    <w:rsid w:val="00620BE3"/>
    <w:rsid w:val="00630D2B"/>
    <w:rsid w:val="00672B3C"/>
    <w:rsid w:val="006D23D9"/>
    <w:rsid w:val="00704437"/>
    <w:rsid w:val="0070776F"/>
    <w:rsid w:val="00771C2D"/>
    <w:rsid w:val="00780290"/>
    <w:rsid w:val="007A0CC2"/>
    <w:rsid w:val="007D00A7"/>
    <w:rsid w:val="007F33D5"/>
    <w:rsid w:val="00823BBC"/>
    <w:rsid w:val="00852F75"/>
    <w:rsid w:val="00854AEB"/>
    <w:rsid w:val="008630D6"/>
    <w:rsid w:val="008D6B45"/>
    <w:rsid w:val="008E71A6"/>
    <w:rsid w:val="009369A4"/>
    <w:rsid w:val="00950908"/>
    <w:rsid w:val="00954963"/>
    <w:rsid w:val="00976502"/>
    <w:rsid w:val="00980FFC"/>
    <w:rsid w:val="009A10F5"/>
    <w:rsid w:val="009C1CA6"/>
    <w:rsid w:val="009D172A"/>
    <w:rsid w:val="00A22A08"/>
    <w:rsid w:val="00A36B8E"/>
    <w:rsid w:val="00A568D8"/>
    <w:rsid w:val="00A71713"/>
    <w:rsid w:val="00AB62E8"/>
    <w:rsid w:val="00AC56B2"/>
    <w:rsid w:val="00AE30F4"/>
    <w:rsid w:val="00B043A4"/>
    <w:rsid w:val="00B133FE"/>
    <w:rsid w:val="00B249E2"/>
    <w:rsid w:val="00B405CE"/>
    <w:rsid w:val="00B65ECC"/>
    <w:rsid w:val="00BB21F4"/>
    <w:rsid w:val="00BE00C2"/>
    <w:rsid w:val="00C11EDC"/>
    <w:rsid w:val="00C1651B"/>
    <w:rsid w:val="00C20E0B"/>
    <w:rsid w:val="00C27C6B"/>
    <w:rsid w:val="00C5022B"/>
    <w:rsid w:val="00C51708"/>
    <w:rsid w:val="00C75036"/>
    <w:rsid w:val="00C859A9"/>
    <w:rsid w:val="00CA5FFC"/>
    <w:rsid w:val="00D32177"/>
    <w:rsid w:val="00D41063"/>
    <w:rsid w:val="00D65390"/>
    <w:rsid w:val="00D81AAF"/>
    <w:rsid w:val="00D925AB"/>
    <w:rsid w:val="00D967F6"/>
    <w:rsid w:val="00DD3DA8"/>
    <w:rsid w:val="00DE2B53"/>
    <w:rsid w:val="00DF049E"/>
    <w:rsid w:val="00DF1739"/>
    <w:rsid w:val="00E31B6C"/>
    <w:rsid w:val="00E3430F"/>
    <w:rsid w:val="00E8114A"/>
    <w:rsid w:val="00E91565"/>
    <w:rsid w:val="00EA2234"/>
    <w:rsid w:val="00EB3D49"/>
    <w:rsid w:val="00F00321"/>
    <w:rsid w:val="00F04454"/>
    <w:rsid w:val="00F17325"/>
    <w:rsid w:val="00F220CE"/>
    <w:rsid w:val="00F31C02"/>
    <w:rsid w:val="00F42EA0"/>
    <w:rsid w:val="00F6564D"/>
    <w:rsid w:val="00F766CA"/>
    <w:rsid w:val="00F81972"/>
    <w:rsid w:val="00FA2BC4"/>
    <w:rsid w:val="00FD02A7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7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776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0776F"/>
  </w:style>
  <w:style w:type="table" w:styleId="a6">
    <w:name w:val="Table Grid"/>
    <w:basedOn w:val="a1"/>
    <w:uiPriority w:val="59"/>
    <w:rsid w:val="0070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0776F"/>
  </w:style>
  <w:style w:type="paragraph" w:styleId="a7">
    <w:name w:val="Balloon Text"/>
    <w:basedOn w:val="a"/>
    <w:link w:val="a8"/>
    <w:uiPriority w:val="99"/>
    <w:semiHidden/>
    <w:unhideWhenUsed/>
    <w:rsid w:val="007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7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0776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0776F"/>
  </w:style>
  <w:style w:type="table" w:styleId="a6">
    <w:name w:val="Table Grid"/>
    <w:basedOn w:val="a1"/>
    <w:uiPriority w:val="59"/>
    <w:rsid w:val="0070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0776F"/>
  </w:style>
  <w:style w:type="paragraph" w:styleId="a7">
    <w:name w:val="Balloon Text"/>
    <w:basedOn w:val="a"/>
    <w:link w:val="a8"/>
    <w:uiPriority w:val="99"/>
    <w:semiHidden/>
    <w:unhideWhenUsed/>
    <w:rsid w:val="007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ommersant.ru" TargetMode="External"/><Relationship Id="rId5" Type="http://schemas.openxmlformats.org/officeDocument/2006/relationships/hyperlink" Target="http://www.google.ru/url?sa=i&amp;rct=j&amp;q=&amp;esrc=s&amp;source=images&amp;cd=&amp;cad=rja&amp;uact=8&amp;ved=0CAcQjRw&amp;url=http://hotelcomapedrosa.com/gde-nayti-poslednie-novosti-v-mire-turizma-i-puteshestviy.html&amp;ei=Nu5uVIrAEMjCOavPgOgG&amp;bvm=bv.80185997,d.bGQ&amp;psig=AFQjCNFT8MwJ26kkJlqdovFZMS2CTO-WyA&amp;ust=1416641989310173" TargetMode="External"/><Relationship Id="rId10" Type="http://schemas.openxmlformats.org/officeDocument/2006/relationships/hyperlink" Target="http://www.sle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oru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919357906348706E-2"/>
          <c:y val="0.19743314024072989"/>
          <c:w val="0.49578074479820466"/>
          <c:h val="0.726581957404003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Лист1!$A$2:$A$32</c:f>
              <c:strCache>
                <c:ptCount val="31"/>
                <c:pt idx="0">
                  <c:v>Египет 30,6%</c:v>
                </c:pt>
                <c:pt idx="1">
                  <c:v>Тайланд 12,4%</c:v>
                </c:pt>
                <c:pt idx="2">
                  <c:v>Турция 9,1%</c:v>
                </c:pt>
                <c:pt idx="3">
                  <c:v>Виетнам 7,3%</c:v>
                </c:pt>
                <c:pt idx="4">
                  <c:v>ОАЕ 6,4%</c:v>
                </c:pt>
                <c:pt idx="5">
                  <c:v>Индия 4,7%</c:v>
                </c:pt>
                <c:pt idx="6">
                  <c:v>Доминиканска република 2,7%</c:v>
                </c:pt>
                <c:pt idx="7">
                  <c:v>Чехия 2,2%</c:v>
                </c:pt>
                <c:pt idx="8">
                  <c:v>Кипър 1,8%</c:v>
                </c:pt>
                <c:pt idx="9">
                  <c:v>Испания 1,7%</c:v>
                </c:pt>
                <c:pt idx="10">
                  <c:v>Мексико 1,5%</c:v>
                </c:pt>
                <c:pt idx="11">
                  <c:v>Италия 1,4%</c:v>
                </c:pt>
                <c:pt idx="12">
                  <c:v>Гърция 1,4%</c:v>
                </c:pt>
                <c:pt idx="13">
                  <c:v>Шри-Ланка 1,2%</c:v>
                </c:pt>
                <c:pt idx="14">
                  <c:v>Куба 1%</c:v>
                </c:pt>
                <c:pt idx="15">
                  <c:v>Франция 1%</c:v>
                </c:pt>
                <c:pt idx="16">
                  <c:v>Тунис 0,9%</c:v>
                </c:pt>
                <c:pt idx="17">
                  <c:v>Малдиви 0,9%</c:v>
                </c:pt>
                <c:pt idx="18">
                  <c:v>Израел 0,8%</c:v>
                </c:pt>
                <c:pt idx="19">
                  <c:v>Китай 0,8%</c:v>
                </c:pt>
                <c:pt idx="20">
                  <c:v>Русия 0,7%</c:v>
                </c:pt>
                <c:pt idx="21">
                  <c:v>Индонезия 0,6%</c:v>
                </c:pt>
                <c:pt idx="22">
                  <c:v>България 0,5%</c:v>
                </c:pt>
                <c:pt idx="23">
                  <c:v>Австрия 0,5%</c:v>
                </c:pt>
                <c:pt idx="24">
                  <c:v>Андора 0,4%</c:v>
                </c:pt>
                <c:pt idx="25">
                  <c:v>Унгария 0,3%</c:v>
                </c:pt>
                <c:pt idx="26">
                  <c:v>Германия 0,3%</c:v>
                </c:pt>
                <c:pt idx="27">
                  <c:v>Република Сейшели 0,3%</c:v>
                </c:pt>
                <c:pt idx="28">
                  <c:v>Мароко 0,3%</c:v>
                </c:pt>
                <c:pt idx="29">
                  <c:v>Абхазия 0,3%</c:v>
                </c:pt>
                <c:pt idx="30">
                  <c:v>Други страни 6%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30.6</c:v>
                </c:pt>
                <c:pt idx="1">
                  <c:v>12.4</c:v>
                </c:pt>
                <c:pt idx="2">
                  <c:v>9.1</c:v>
                </c:pt>
                <c:pt idx="3">
                  <c:v>7.3</c:v>
                </c:pt>
                <c:pt idx="4">
                  <c:v>6.4</c:v>
                </c:pt>
                <c:pt idx="5">
                  <c:v>4.7</c:v>
                </c:pt>
                <c:pt idx="6">
                  <c:v>2.7</c:v>
                </c:pt>
                <c:pt idx="7">
                  <c:v>2.2000000000000002</c:v>
                </c:pt>
                <c:pt idx="8">
                  <c:v>1.8</c:v>
                </c:pt>
                <c:pt idx="9">
                  <c:v>1.7000000000000002</c:v>
                </c:pt>
                <c:pt idx="10">
                  <c:v>1.5</c:v>
                </c:pt>
                <c:pt idx="11">
                  <c:v>1.4</c:v>
                </c:pt>
                <c:pt idx="12">
                  <c:v>1.4</c:v>
                </c:pt>
                <c:pt idx="13">
                  <c:v>1.2</c:v>
                </c:pt>
                <c:pt idx="14">
                  <c:v>1</c:v>
                </c:pt>
                <c:pt idx="15">
                  <c:v>1</c:v>
                </c:pt>
                <c:pt idx="16">
                  <c:v>0.9</c:v>
                </c:pt>
                <c:pt idx="17">
                  <c:v>0.9</c:v>
                </c:pt>
                <c:pt idx="18">
                  <c:v>0.8</c:v>
                </c:pt>
                <c:pt idx="19">
                  <c:v>0.8</c:v>
                </c:pt>
                <c:pt idx="20">
                  <c:v>0.70000000000000018</c:v>
                </c:pt>
                <c:pt idx="21">
                  <c:v>0.6000000000000002</c:v>
                </c:pt>
                <c:pt idx="22">
                  <c:v>0.5</c:v>
                </c:pt>
                <c:pt idx="23">
                  <c:v>0.5</c:v>
                </c:pt>
                <c:pt idx="24">
                  <c:v>0.4</c:v>
                </c:pt>
                <c:pt idx="25">
                  <c:v>0.3000000000000001</c:v>
                </c:pt>
                <c:pt idx="26">
                  <c:v>0.3000000000000001</c:v>
                </c:pt>
                <c:pt idx="27">
                  <c:v>0.3000000000000001</c:v>
                </c:pt>
                <c:pt idx="28">
                  <c:v>0.3000000000000001</c:v>
                </c:pt>
                <c:pt idx="29">
                  <c:v>0.3000000000000001</c:v>
                </c:pt>
                <c:pt idx="3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46487123892124"/>
          <c:y val="5.0584528913852955E-2"/>
          <c:w val="0.33056411426832533"/>
          <c:h val="0.82674238613895723"/>
        </c:manualLayout>
      </c:layout>
      <c:overlay val="0"/>
      <c:txPr>
        <a:bodyPr/>
        <a:lstStyle/>
        <a:p>
          <a:pPr>
            <a:defRPr lang="ru-RU" sz="800">
              <a:latin typeface="+mn-lt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10000000</c:v>
                </c:pt>
                <c:pt idx="1">
                  <c:v>11300000</c:v>
                </c:pt>
                <c:pt idx="2">
                  <c:v>14600000</c:v>
                </c:pt>
                <c:pt idx="3">
                  <c:v>16959979</c:v>
                </c:pt>
                <c:pt idx="4">
                  <c:v>16375820</c:v>
                </c:pt>
                <c:pt idx="5">
                  <c:v>22835190</c:v>
                </c:pt>
                <c:pt idx="6">
                  <c:v>32535252</c:v>
                </c:pt>
                <c:pt idx="7">
                  <c:v>28708316</c:v>
                </c:pt>
                <c:pt idx="8">
                  <c:v>36800234</c:v>
                </c:pt>
                <c:pt idx="9">
                  <c:v>38252309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</c:strCache>
            </c:strRef>
          </c:cat>
          <c:val>
            <c:numRef>
              <c:f>Лист1!$C$2:$C$11</c:f>
              <c:numCache>
                <c:formatCode>#,##0</c:formatCode>
                <c:ptCount val="10"/>
                <c:pt idx="0">
                  <c:v>40000000</c:v>
                </c:pt>
                <c:pt idx="1">
                  <c:v>40000000</c:v>
                </c:pt>
                <c:pt idx="2">
                  <c:v>53085335</c:v>
                </c:pt>
                <c:pt idx="3">
                  <c:v>59892505</c:v>
                </c:pt>
                <c:pt idx="4">
                  <c:v>54541147</c:v>
                </c:pt>
                <c:pt idx="5">
                  <c:v>54943135</c:v>
                </c:pt>
                <c:pt idx="6">
                  <c:v>59941171</c:v>
                </c:pt>
                <c:pt idx="7">
                  <c:v>49882253</c:v>
                </c:pt>
                <c:pt idx="8">
                  <c:v>43370541</c:v>
                </c:pt>
                <c:pt idx="9">
                  <c:v>37791895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815168"/>
        <c:axId val="245816704"/>
        <c:axId val="0"/>
      </c:bar3DChart>
      <c:catAx>
        <c:axId val="24581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5816704"/>
        <c:crosses val="autoZero"/>
        <c:auto val="1"/>
        <c:lblAlgn val="ctr"/>
        <c:lblOffset val="100"/>
        <c:noMultiLvlLbl val="0"/>
      </c:catAx>
      <c:valAx>
        <c:axId val="2458167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58151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0</DocSecurity>
  <Lines>33</Lines>
  <Paragraphs>9</Paragraphs>
  <ScaleCrop>false</ScaleCrop>
  <Company>Prive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2014-11-28T11:30:00Z</dcterms:created>
  <dcterms:modified xsi:type="dcterms:W3CDTF">2014-11-28T11:32:00Z</dcterms:modified>
</cp:coreProperties>
</file>