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F13215" w:rsidRPr="00485D49" w:rsidRDefault="00F13215" w:rsidP="00F1321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485D4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0A0D44" wp14:editId="35ABDBD2">
            <wp:simplePos x="0" y="0"/>
            <wp:positionH relativeFrom="column">
              <wp:posOffset>-635</wp:posOffset>
            </wp:positionH>
            <wp:positionV relativeFrom="paragraph">
              <wp:posOffset>76835</wp:posOffset>
            </wp:positionV>
            <wp:extent cx="2309495" cy="1543050"/>
            <wp:effectExtent l="0" t="0" r="0" b="0"/>
            <wp:wrapSquare wrapText="bothSides"/>
            <wp:docPr id="9" name="Рисунок 9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9">
        <w:rPr>
          <w:rFonts w:ascii="Verdana" w:eastAsia="Calibri" w:hAnsi="Verdana" w:cs="Times New Roman"/>
          <w:b/>
          <w:sz w:val="20"/>
          <w:szCs w:val="20"/>
          <w:lang w:val="bg-BG"/>
        </w:rPr>
        <w:t>АНАЛИЗ НА ПАЗАРА НА ОРИЗ В РУСИЯ</w:t>
      </w:r>
    </w:p>
    <w:p w:rsidR="00F13215" w:rsidRPr="00485D49" w:rsidRDefault="00F13215" w:rsidP="00F1321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F13215" w:rsidRPr="00485D49" w:rsidRDefault="00F13215" w:rsidP="00F13215">
      <w:pPr>
        <w:spacing w:after="0"/>
        <w:ind w:firstLine="708"/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</w:pP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През 2016 г., количествата ориз експортирани от Русия, за първи път почти са изравнени с внесените в страната количества. Това предполага, че за страната, процентът на самозадоволяване с тази култура е достигнал 100%.</w:t>
      </w:r>
    </w:p>
    <w:p w:rsidR="00F13215" w:rsidRPr="00485D49" w:rsidRDefault="00F13215" w:rsidP="00F13215">
      <w:pPr>
        <w:spacing w:after="0"/>
        <w:ind w:firstLine="708"/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</w:pP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В Русия, съгласно Росстат, на ориза се пада само 0.4% от общите обработваеми площи със зърнени и бобови култури. За сравнение, според данни от 2015 г.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, 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на пшеницата се пада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т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 57.5%, ръж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та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 - 20,8%, царевица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та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 - 5.9%, овес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а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 - 6.5%, ечемик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а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 - 19.1%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.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 Ориз се произвежда в повече от 10 региона на страната, като повече от 80% от културата се отглежда в Краснодарски край.</w:t>
      </w:r>
    </w:p>
    <w:p w:rsidR="00F13215" w:rsidRPr="00485D49" w:rsidRDefault="00F13215" w:rsidP="00F13215">
      <w:pPr>
        <w:spacing w:after="0"/>
        <w:ind w:firstLine="708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bg-BG" w:eastAsia="ru-RU"/>
        </w:rPr>
      </w:pPr>
      <w:r w:rsidRPr="00485D49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bg-BG" w:eastAsia="ru-RU"/>
        </w:rPr>
        <w:t>Добивът в Русия.</w:t>
      </w:r>
    </w:p>
    <w:p w:rsidR="00F13215" w:rsidRPr="00485D49" w:rsidRDefault="00F13215" w:rsidP="00F13215">
      <w:pPr>
        <w:spacing w:after="0"/>
        <w:ind w:firstLine="708"/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</w:pP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Според уточнени данни на Росстат, реколта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та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 xml:space="preserve"> през 2016 г. показ</w:t>
      </w:r>
      <w:r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в</w:t>
      </w:r>
      <w:r w:rsidRPr="00485D49">
        <w:rPr>
          <w:rFonts w:ascii="Verdana" w:eastAsia="Times New Roman" w:hAnsi="Verdana" w:cs="Times New Roman"/>
          <w:bCs/>
          <w:kern w:val="36"/>
          <w:sz w:val="20"/>
          <w:szCs w:val="20"/>
          <w:lang w:val="bg-BG" w:eastAsia="ru-RU"/>
        </w:rPr>
        <w:t>а макар и слаб, но спад (от 1 110 до 1 078 хил.т) в сравнение с миналата година.</w:t>
      </w:r>
    </w:p>
    <w:p w:rsidR="00F13215" w:rsidRPr="00485D49" w:rsidRDefault="00F13215" w:rsidP="00F13215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jc w:val="center"/>
        <w:rPr>
          <w:rFonts w:ascii="Verdana" w:hAnsi="Verdana"/>
          <w:i/>
          <w:sz w:val="18"/>
          <w:szCs w:val="18"/>
          <w:lang w:val="bg-BG"/>
        </w:rPr>
      </w:pPr>
      <w:r w:rsidRPr="00485D49">
        <w:rPr>
          <w:rFonts w:ascii="Verdana" w:hAnsi="Verdana"/>
          <w:i/>
          <w:sz w:val="18"/>
          <w:szCs w:val="18"/>
          <w:lang w:val="bg-BG"/>
        </w:rPr>
        <w:t>Какво количество ориз се отглежда в Русия и какъв добив от хектар се произвежда</w:t>
      </w:r>
    </w:p>
    <w:p w:rsidR="00F13215" w:rsidRPr="00485D49" w:rsidRDefault="00F13215" w:rsidP="00F13215">
      <w:pPr>
        <w:pStyle w:val="NoSpacing"/>
        <w:spacing w:line="276" w:lineRule="auto"/>
        <w:jc w:val="center"/>
        <w:rPr>
          <w:rFonts w:ascii="Verdana" w:hAnsi="Verdana"/>
          <w:sz w:val="20"/>
          <w:szCs w:val="20"/>
          <w:lang w:val="bg-BG"/>
        </w:rPr>
      </w:pPr>
    </w:p>
    <w:tbl>
      <w:tblPr>
        <w:tblStyle w:val="4"/>
        <w:tblW w:w="0" w:type="auto"/>
        <w:tblInd w:w="2235" w:type="dxa"/>
        <w:tblLook w:val="04A0" w:firstRow="1" w:lastRow="0" w:firstColumn="1" w:lastColumn="0" w:noHBand="0" w:noVBand="1"/>
      </w:tblPr>
      <w:tblGrid>
        <w:gridCol w:w="1984"/>
        <w:gridCol w:w="2126"/>
        <w:gridCol w:w="1985"/>
      </w:tblGrid>
      <w:tr w:rsidR="00F13215" w:rsidRPr="00485D49" w:rsidTr="00732B7D">
        <w:tc>
          <w:tcPr>
            <w:tcW w:w="1984" w:type="dxa"/>
            <w:shd w:val="clear" w:color="auto" w:fill="FBD4B4" w:themeFill="accent6" w:themeFillTint="66"/>
            <w:vAlign w:val="center"/>
          </w:tcPr>
          <w:p w:rsidR="00F13215" w:rsidRPr="00553886" w:rsidRDefault="00F13215" w:rsidP="00732B7D">
            <w:pPr>
              <w:spacing w:after="15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55388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Година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F13215" w:rsidRPr="00553886" w:rsidRDefault="00F13215" w:rsidP="00732B7D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bg-BG" w:eastAsia="ru-RU"/>
              </w:rPr>
            </w:pPr>
            <w:r w:rsidRPr="00553886">
              <w:rPr>
                <w:rFonts w:ascii="Verdana" w:hAnsi="Verdana"/>
                <w:sz w:val="20"/>
                <w:szCs w:val="20"/>
                <w:lang w:val="bg-BG" w:eastAsia="ru-RU"/>
              </w:rPr>
              <w:t>Количество събрана култура/хил.т.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13215" w:rsidRPr="00553886" w:rsidRDefault="00F13215" w:rsidP="00732B7D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bg-BG" w:eastAsia="ru-RU"/>
              </w:rPr>
            </w:pPr>
            <w:r w:rsidRPr="00553886">
              <w:rPr>
                <w:rFonts w:ascii="Verdana" w:hAnsi="Verdana"/>
                <w:sz w:val="20"/>
                <w:szCs w:val="20"/>
                <w:lang w:val="bg-BG" w:eastAsia="ru-RU"/>
              </w:rPr>
              <w:t>Добив, центнера от хектар обработена земя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2005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571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42,0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2008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738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46,0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2009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913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51,4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2010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1061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52,8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2011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1056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50,9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2012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1052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54,9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2013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935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49,5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2014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1049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53,6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2015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1110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55,8</w:t>
            </w:r>
          </w:p>
        </w:tc>
      </w:tr>
      <w:tr w:rsidR="00F13215" w:rsidRPr="00485D49" w:rsidTr="00732B7D">
        <w:tc>
          <w:tcPr>
            <w:tcW w:w="1984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spacing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2016</w:t>
            </w:r>
          </w:p>
        </w:tc>
        <w:tc>
          <w:tcPr>
            <w:tcW w:w="2126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1078</w:t>
            </w:r>
          </w:p>
        </w:tc>
        <w:tc>
          <w:tcPr>
            <w:tcW w:w="1985" w:type="dxa"/>
            <w:vAlign w:val="center"/>
          </w:tcPr>
          <w:p w:rsidR="00F13215" w:rsidRPr="00485D49" w:rsidRDefault="00F13215" w:rsidP="00732B7D">
            <w:pPr>
              <w:spacing w:line="312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485D49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</w:t>
            </w:r>
          </w:p>
        </w:tc>
      </w:tr>
    </w:tbl>
    <w:p w:rsidR="00F13215" w:rsidRPr="00485D49" w:rsidRDefault="00F13215" w:rsidP="00F13215">
      <w:pPr>
        <w:pStyle w:val="NoSpacing"/>
        <w:spacing w:line="276" w:lineRule="auto"/>
        <w:rPr>
          <w:rFonts w:ascii="Verdana" w:hAnsi="Verdana"/>
          <w:i/>
          <w:sz w:val="20"/>
          <w:szCs w:val="20"/>
          <w:lang w:val="bg-BG"/>
        </w:rPr>
      </w:pPr>
      <w:r w:rsidRPr="00485D49">
        <w:rPr>
          <w:rFonts w:ascii="Verdana" w:hAnsi="Verdana"/>
          <w:i/>
          <w:sz w:val="20"/>
          <w:szCs w:val="20"/>
          <w:lang w:val="bg-BG"/>
        </w:rPr>
        <w:t>Източник: Росстат</w:t>
      </w:r>
    </w:p>
    <w:p w:rsidR="00F13215" w:rsidRPr="00485D49" w:rsidRDefault="00F13215" w:rsidP="00F13215">
      <w:pPr>
        <w:pStyle w:val="NoSpacing"/>
        <w:spacing w:line="276" w:lineRule="auto"/>
        <w:rPr>
          <w:rFonts w:ascii="Verdana" w:hAnsi="Verdana"/>
          <w:i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Количеството събрана култура в Русия през 2016 г., за последните десет години (от 2005 г.), се е увеличило с два пъти, като ръстът е + 88%. Количеството на събраният ориз от хектар обработена земя също се е увеличило.</w:t>
      </w:r>
    </w:p>
    <w:p w:rsidR="00F13215" w:rsidRPr="00485D49" w:rsidRDefault="00F13215" w:rsidP="00F13215">
      <w:pPr>
        <w:pStyle w:val="NoSpacing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При това, посевните площи за същия период са се увеличили с 63 хиляди хектара, което в процентно съотношение представлява прираст от + 43,75%.</w:t>
      </w:r>
    </w:p>
    <w:p w:rsidR="00F13215" w:rsidRPr="00485D49" w:rsidRDefault="00F13215" w:rsidP="00F13215">
      <w:pPr>
        <w:pStyle w:val="NoSpacing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485D49">
        <w:rPr>
          <w:rFonts w:ascii="Verdana" w:hAnsi="Verdana"/>
          <w:i/>
          <w:sz w:val="20"/>
          <w:szCs w:val="20"/>
          <w:lang w:val="bg-BG"/>
        </w:rPr>
        <w:t>Посевни площи на ориз в Русия във всички категории стопанства</w:t>
      </w:r>
    </w:p>
    <w:p w:rsidR="00F13215" w:rsidRPr="00485D49" w:rsidRDefault="00F13215" w:rsidP="00F13215">
      <w:pPr>
        <w:pStyle w:val="NoSpacing"/>
        <w:spacing w:line="276" w:lineRule="auto"/>
        <w:jc w:val="center"/>
        <w:rPr>
          <w:rFonts w:ascii="Verdana" w:hAnsi="Verdana"/>
          <w:sz w:val="20"/>
          <w:szCs w:val="20"/>
          <w:lang w:val="bg-BG"/>
        </w:rPr>
      </w:pPr>
    </w:p>
    <w:tbl>
      <w:tblPr>
        <w:tblStyle w:val="5"/>
        <w:tblW w:w="0" w:type="auto"/>
        <w:jc w:val="center"/>
        <w:tblInd w:w="1413" w:type="dxa"/>
        <w:tblLayout w:type="fixed"/>
        <w:tblLook w:val="04A0" w:firstRow="1" w:lastRow="0" w:firstColumn="1" w:lastColumn="0" w:noHBand="0" w:noVBand="1"/>
      </w:tblPr>
      <w:tblGrid>
        <w:gridCol w:w="2375"/>
        <w:gridCol w:w="1594"/>
      </w:tblGrid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FABF8F" w:themeFill="accent6" w:themeFillTint="99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1594" w:type="dxa"/>
            <w:shd w:val="clear" w:color="auto" w:fill="FABF8F" w:themeFill="accent6" w:themeFillTint="99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Посевни площи</w:t>
            </w:r>
          </w:p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/хил.хектара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1992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265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2000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175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2005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144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2010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203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2012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201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2013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190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2014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197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2015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202</w:t>
            </w:r>
          </w:p>
        </w:tc>
      </w:tr>
      <w:tr w:rsidR="00F13215" w:rsidRPr="00485D49" w:rsidTr="00732B7D">
        <w:trPr>
          <w:trHeight w:val="283"/>
          <w:jc w:val="center"/>
        </w:trPr>
        <w:tc>
          <w:tcPr>
            <w:tcW w:w="2375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2016</w:t>
            </w:r>
          </w:p>
        </w:tc>
        <w:tc>
          <w:tcPr>
            <w:tcW w:w="1594" w:type="dxa"/>
            <w:vAlign w:val="center"/>
          </w:tcPr>
          <w:p w:rsidR="00F13215" w:rsidRPr="00485D49" w:rsidRDefault="00F13215" w:rsidP="00732B7D">
            <w:pPr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485D49">
              <w:rPr>
                <w:rFonts w:ascii="Verdana" w:hAnsi="Verdana"/>
                <w:sz w:val="20"/>
                <w:szCs w:val="20"/>
                <w:lang w:val="bg-BG"/>
              </w:rPr>
              <w:t>207</w:t>
            </w:r>
          </w:p>
        </w:tc>
      </w:tr>
    </w:tbl>
    <w:p w:rsidR="00F13215" w:rsidRPr="00485D49" w:rsidRDefault="00F13215" w:rsidP="00F13215">
      <w:pPr>
        <w:rPr>
          <w:rFonts w:ascii="Verdana" w:hAnsi="Verdana"/>
          <w:i/>
          <w:sz w:val="20"/>
          <w:szCs w:val="20"/>
          <w:lang w:val="bg-BG"/>
        </w:rPr>
      </w:pPr>
      <w:r w:rsidRPr="00485D49">
        <w:rPr>
          <w:rFonts w:ascii="Verdana" w:hAnsi="Verdana"/>
          <w:i/>
          <w:sz w:val="20"/>
          <w:szCs w:val="20"/>
          <w:lang w:val="bg-BG"/>
        </w:rPr>
        <w:t>Източник: Росстат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485D49">
        <w:rPr>
          <w:rFonts w:ascii="Verdana" w:hAnsi="Verdana"/>
          <w:b/>
          <w:sz w:val="20"/>
          <w:szCs w:val="20"/>
          <w:lang w:val="bg-BG"/>
        </w:rPr>
        <w:t xml:space="preserve">В кои райони на Русия се отглежда ориз. 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Рекордни добиви на ориз в страната регистрира Краснодарски край. Според информация на Министерството на селското стопанство на Руската федерация, в края на октомври 2016 г., във всички категории стопанства на региона са произведени 84,1% от общия обем на производство на тази култура в Русия. Краснодарски край също държи рекордни показатели за производство на захарно цвекло.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Значителни показатели на производство на ориз отбелязват Ростовска област (5.4%), Република Дагестан (3.4%), Приморски край (2.7%), Република Адигея (2.2%), Калмикия (1.1%), Астраханска област (0.8%), Чеченска Република (0.4%), делът на други региони на Русия е 0.04%.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Ако говорим за динамиката на измененията в размера на реколтата по региони през последните две години, картината е следната: Краснодарски край – прираст със 71 хиляди тона, Чеченска Република, Калмикия, Еврейски автономен окръг, Ингушетия и Кабардино-Балкарска Република, също могат да се похвалят, макар и с незначителен, но ръст.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В Ростовска област и Приморски край производството е паднало съответно с 13.2 и 13 хиляди тона. Също така, сред регионите, които отбелязват спад са Република Адигея, Астраханска област, Република Дагестан, Волгоградска област.</w:t>
      </w:r>
    </w:p>
    <w:p w:rsidR="00F13215" w:rsidRPr="00485D49" w:rsidRDefault="00F13215" w:rsidP="00F13215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485D49">
        <w:rPr>
          <w:rFonts w:ascii="Verdana" w:hAnsi="Verdana"/>
          <w:b/>
          <w:sz w:val="20"/>
          <w:szCs w:val="20"/>
          <w:lang w:val="bg-BG"/>
        </w:rPr>
        <w:t>Ситуацията с външната търговия.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През първите девет месеца на 2016 г. експортираното количество ориз (135,5 хил. тона) практически се е изравнило с вносните (137.6 хил. тона), което означава, че процентът на самозадоволяване с тази култура е достигнал 100% за страната и съществуват потенциални възможности за реализацията на програмата за заместване на вноса. Такива показатели са достигнати в Русия за първи път през последните години. За сравнение: през януари-септември 2014 г. вносът възлиза на 209.6 хиляди тона, а износът е само 64,4 хиляди тона.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485D49">
        <w:rPr>
          <w:rFonts w:ascii="Verdana" w:hAnsi="Verdana"/>
          <w:i/>
          <w:sz w:val="20"/>
          <w:szCs w:val="20"/>
          <w:lang w:val="bg-BG"/>
        </w:rPr>
        <w:t>Руският импорт и експорт на ориз през януари-септември 2014 – 2016 г./хил. т.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 w:rsidRPr="00485D49">
        <w:rPr>
          <w:noProof/>
          <w:color w:val="FF0000"/>
        </w:rPr>
        <w:drawing>
          <wp:inline distT="0" distB="0" distL="0" distR="0" wp14:anchorId="1D1CD358" wp14:editId="75E49874">
            <wp:extent cx="4914900" cy="2527300"/>
            <wp:effectExtent l="0" t="0" r="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i/>
          <w:sz w:val="20"/>
          <w:szCs w:val="20"/>
          <w:lang w:val="bg-BG"/>
        </w:rPr>
      </w:pPr>
      <w:r w:rsidRPr="00485D49">
        <w:rPr>
          <w:rFonts w:ascii="Verdana" w:hAnsi="Verdana"/>
          <w:i/>
          <w:sz w:val="20"/>
          <w:szCs w:val="20"/>
          <w:lang w:val="bg-BG"/>
        </w:rPr>
        <w:lastRenderedPageBreak/>
        <w:t>Източник: Федерална митническа служба</w:t>
      </w: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</w:p>
    <w:p w:rsidR="00F13215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В Руската федерация се внася ориз от Тайланд, Виетнам, Китай, Пакистан и Индия. По видове в Русия се внасят: дългозърнест ориз  - 95%, кръглозърнест - 1,1%, натрошен -  0,7% и среднозърнес</w:t>
      </w:r>
      <w:r>
        <w:rPr>
          <w:rFonts w:ascii="Verdana" w:hAnsi="Verdana"/>
          <w:sz w:val="20"/>
          <w:szCs w:val="20"/>
          <w:lang w:val="bg-BG"/>
        </w:rPr>
        <w:t>т</w:t>
      </w:r>
      <w:r w:rsidRPr="00485D49">
        <w:rPr>
          <w:rFonts w:ascii="Verdana" w:hAnsi="Verdana"/>
          <w:sz w:val="20"/>
          <w:szCs w:val="20"/>
          <w:lang w:val="bg-BG"/>
        </w:rPr>
        <w:t xml:space="preserve"> -  2,6%. По степен на обработка: 98%  - пълнозърнест или бял.</w:t>
      </w: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От Русия се изнася над 80% среднозърнес</w:t>
      </w:r>
      <w:r>
        <w:rPr>
          <w:rFonts w:ascii="Verdana" w:hAnsi="Verdana"/>
          <w:sz w:val="20"/>
          <w:szCs w:val="20"/>
          <w:lang w:val="bg-BG"/>
        </w:rPr>
        <w:t>т</w:t>
      </w:r>
      <w:r w:rsidRPr="00485D49">
        <w:rPr>
          <w:rFonts w:ascii="Verdana" w:hAnsi="Verdana"/>
          <w:sz w:val="20"/>
          <w:szCs w:val="20"/>
          <w:lang w:val="bg-BG"/>
        </w:rPr>
        <w:t>, 4,1% дългозърнест, 10,6% натрошен и 1,4% късозърнест. По степента на обработка повече от 50% от страната се изнася нерафиниран (кафяв) ориз.</w:t>
      </w: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Според Федералната статистическа служба, през 2015 г. и 2016 г. обема на износа показва ясно изразена положителна тенденция в реално изражение.</w:t>
      </w: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F13215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485D49">
        <w:rPr>
          <w:rFonts w:ascii="Verdana" w:hAnsi="Verdana"/>
          <w:i/>
          <w:sz w:val="20"/>
          <w:szCs w:val="20"/>
          <w:lang w:val="bg-BG"/>
        </w:rPr>
        <w:t>Износа на ориз от Русия в реално изражение</w:t>
      </w:r>
    </w:p>
    <w:p w:rsidR="00F13215" w:rsidRPr="00485D49" w:rsidRDefault="00F13215" w:rsidP="00F132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</w:p>
    <w:tbl>
      <w:tblPr>
        <w:tblStyle w:val="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275"/>
        <w:gridCol w:w="1276"/>
        <w:gridCol w:w="1559"/>
        <w:gridCol w:w="2122"/>
      </w:tblGrid>
      <w:tr w:rsidR="00F13215" w:rsidRPr="00485D49" w:rsidTr="00732B7D">
        <w:trPr>
          <w:jc w:val="center"/>
        </w:trPr>
        <w:tc>
          <w:tcPr>
            <w:tcW w:w="2689" w:type="dxa"/>
            <w:gridSpan w:val="2"/>
            <w:shd w:val="clear" w:color="auto" w:fill="FBD4B4" w:themeFill="accent6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3685" w:type="dxa"/>
            <w:gridSpan w:val="3"/>
            <w:shd w:val="clear" w:color="auto" w:fill="FBD4B4" w:themeFill="accent6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Включително декември 2016 г.</w:t>
            </w:r>
          </w:p>
        </w:tc>
        <w:tc>
          <w:tcPr>
            <w:tcW w:w="3681" w:type="dxa"/>
            <w:gridSpan w:val="2"/>
            <w:shd w:val="clear" w:color="auto" w:fill="FBD4B4" w:themeFill="accent6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Справка</w:t>
            </w:r>
          </w:p>
        </w:tc>
      </w:tr>
      <w:tr w:rsidR="00F13215" w:rsidRPr="00485D49" w:rsidTr="00732B7D">
        <w:trPr>
          <w:jc w:val="center"/>
        </w:trPr>
        <w:tc>
          <w:tcPr>
            <w:tcW w:w="1555" w:type="dxa"/>
            <w:shd w:val="clear" w:color="auto" w:fill="D6E3BC" w:themeFill="accent3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Количество/хил.т.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В % към 2015 г.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Хил.т.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В % към декември 2015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Ноември 2016 г.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2015 г. в % към 2014 г.</w:t>
            </w:r>
          </w:p>
        </w:tc>
        <w:tc>
          <w:tcPr>
            <w:tcW w:w="2122" w:type="dxa"/>
            <w:shd w:val="clear" w:color="auto" w:fill="D6E3BC" w:themeFill="accent3" w:themeFillTint="66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Декември 2015 г. в % към декември 2014 г.</w:t>
            </w:r>
          </w:p>
        </w:tc>
      </w:tr>
      <w:tr w:rsidR="00F13215" w:rsidRPr="00485D49" w:rsidTr="00732B7D">
        <w:trPr>
          <w:jc w:val="center"/>
        </w:trPr>
        <w:tc>
          <w:tcPr>
            <w:tcW w:w="1555" w:type="dxa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229</w:t>
            </w:r>
          </w:p>
        </w:tc>
        <w:tc>
          <w:tcPr>
            <w:tcW w:w="1134" w:type="dxa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127,3</w:t>
            </w:r>
          </w:p>
        </w:tc>
        <w:tc>
          <w:tcPr>
            <w:tcW w:w="1134" w:type="dxa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37,5</w:t>
            </w:r>
          </w:p>
        </w:tc>
        <w:tc>
          <w:tcPr>
            <w:tcW w:w="1275" w:type="dxa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192,5</w:t>
            </w:r>
          </w:p>
        </w:tc>
        <w:tc>
          <w:tcPr>
            <w:tcW w:w="1276" w:type="dxa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123,6</w:t>
            </w:r>
          </w:p>
        </w:tc>
        <w:tc>
          <w:tcPr>
            <w:tcW w:w="1559" w:type="dxa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80,8</w:t>
            </w:r>
          </w:p>
        </w:tc>
        <w:tc>
          <w:tcPr>
            <w:tcW w:w="2122" w:type="dxa"/>
          </w:tcPr>
          <w:p w:rsidR="00F13215" w:rsidRPr="00485D49" w:rsidRDefault="00F13215" w:rsidP="00732B7D">
            <w:pPr>
              <w:spacing w:before="300" w:after="150" w:line="312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40,7</w:t>
            </w:r>
          </w:p>
        </w:tc>
      </w:tr>
    </w:tbl>
    <w:p w:rsidR="00F13215" w:rsidRPr="00485D49" w:rsidRDefault="00F13215" w:rsidP="00F13215">
      <w:pPr>
        <w:spacing w:before="300" w:after="150" w:line="312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485D49">
        <w:rPr>
          <w:rFonts w:ascii="Verdana" w:eastAsia="Calibri" w:hAnsi="Verdana" w:cs="Times New Roman"/>
          <w:sz w:val="20"/>
          <w:szCs w:val="20"/>
          <w:lang w:val="bg-BG"/>
        </w:rPr>
        <w:t>Източник: Росстат</w:t>
      </w:r>
    </w:p>
    <w:p w:rsidR="00F13215" w:rsidRPr="00485D49" w:rsidRDefault="00F13215" w:rsidP="00F13215">
      <w:pPr>
        <w:spacing w:before="300" w:after="15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85D49">
        <w:rPr>
          <w:rFonts w:ascii="Verdana" w:eastAsia="Calibri" w:hAnsi="Verdana" w:cs="Times New Roman"/>
          <w:sz w:val="20"/>
          <w:szCs w:val="20"/>
          <w:lang w:val="bg-BG"/>
        </w:rPr>
        <w:t xml:space="preserve">Независимо от неотдавнашните руско-турски разногласия, за първите девет месеца на 2016 г., най-големите доставки от Русия са </w:t>
      </w:r>
      <w:r>
        <w:rPr>
          <w:rFonts w:ascii="Verdana" w:eastAsia="Calibri" w:hAnsi="Verdana" w:cs="Times New Roman"/>
          <w:sz w:val="20"/>
          <w:szCs w:val="20"/>
          <w:lang w:val="bg-BG"/>
        </w:rPr>
        <w:t>за</w:t>
      </w:r>
      <w:r w:rsidRPr="00485D49">
        <w:rPr>
          <w:rFonts w:ascii="Verdana" w:eastAsia="Calibri" w:hAnsi="Verdana" w:cs="Times New Roman"/>
          <w:sz w:val="20"/>
          <w:szCs w:val="20"/>
          <w:lang w:val="bg-BG"/>
        </w:rPr>
        <w:t xml:space="preserve"> Турция.</w:t>
      </w:r>
    </w:p>
    <w:p w:rsidR="00F13215" w:rsidRPr="00485D49" w:rsidRDefault="00F13215" w:rsidP="00F13215">
      <w:pPr>
        <w:spacing w:before="300" w:after="150"/>
        <w:ind w:firstLine="708"/>
        <w:jc w:val="center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485D49">
        <w:rPr>
          <w:rFonts w:ascii="Verdana" w:eastAsia="Calibri" w:hAnsi="Verdana" w:cs="Times New Roman"/>
          <w:i/>
          <w:sz w:val="20"/>
          <w:szCs w:val="20"/>
          <w:lang w:val="bg-BG"/>
        </w:rPr>
        <w:t>Структура на руският износ на ориз по страни за периода януари - септември 2016 г./ хил.т. (търговията със страните от Митническия съюз не е включена)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30"/>
      </w:tblGrid>
      <w:tr w:rsidR="00F13215" w:rsidRPr="00485D49" w:rsidTr="00732B7D">
        <w:trPr>
          <w:jc w:val="center"/>
        </w:trPr>
        <w:tc>
          <w:tcPr>
            <w:tcW w:w="2830" w:type="dxa"/>
            <w:shd w:val="clear" w:color="auto" w:fill="FABF8F" w:themeFill="accent6" w:themeFillTint="99"/>
          </w:tcPr>
          <w:p w:rsidR="00F13215" w:rsidRPr="00485D49" w:rsidRDefault="00F13215" w:rsidP="00732B7D">
            <w:pPr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Страна по местоназначение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F13215" w:rsidRPr="000161D4" w:rsidRDefault="00F13215" w:rsidP="00732B7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% от общия обем на износ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Турция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47,0%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Туркмения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14,5%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Азербайджан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6,9%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Монголия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4,8%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Либия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4,4%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Испания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4,2%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Ливан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3,5%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Украйна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3,1%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Белгия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2,8%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Молдавия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1,8%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Нидерландия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1,3%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Албания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1,3%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Сирия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0,8%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Египет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0,7%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lastRenderedPageBreak/>
              <w:t>Таджикистан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0,7%</w:t>
            </w:r>
          </w:p>
        </w:tc>
      </w:tr>
      <w:tr w:rsidR="00F13215" w:rsidRPr="00485D49" w:rsidTr="00732B7D">
        <w:trPr>
          <w:jc w:val="center"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:rsidR="00F13215" w:rsidRPr="00485D49" w:rsidRDefault="00F13215" w:rsidP="00732B7D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485D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Други страни</w:t>
            </w:r>
          </w:p>
        </w:tc>
        <w:tc>
          <w:tcPr>
            <w:tcW w:w="1630" w:type="dxa"/>
            <w:shd w:val="clear" w:color="auto" w:fill="D6E3BC" w:themeFill="accent3" w:themeFillTint="66"/>
            <w:vAlign w:val="center"/>
          </w:tcPr>
          <w:p w:rsidR="00F13215" w:rsidRPr="000161D4" w:rsidRDefault="00F13215" w:rsidP="00732B7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161D4">
              <w:rPr>
                <w:rFonts w:ascii="Verdana" w:hAnsi="Verdana"/>
                <w:sz w:val="20"/>
                <w:szCs w:val="20"/>
                <w:lang w:val="bg-BG"/>
              </w:rPr>
              <w:t>2,0%</w:t>
            </w:r>
          </w:p>
        </w:tc>
      </w:tr>
    </w:tbl>
    <w:p w:rsidR="00F13215" w:rsidRPr="003E75FA" w:rsidRDefault="00F13215" w:rsidP="00F13215">
      <w:pPr>
        <w:spacing w:before="300" w:after="150"/>
        <w:ind w:firstLine="708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3E75FA">
        <w:rPr>
          <w:rFonts w:ascii="Verdana" w:eastAsia="Calibri" w:hAnsi="Verdana" w:cs="Times New Roman"/>
          <w:i/>
          <w:sz w:val="20"/>
          <w:szCs w:val="20"/>
          <w:lang w:val="bg-BG"/>
        </w:rPr>
        <w:t>Източник: Експертно-аналитичен център на Агробизнес (http://ab-centre.ru)</w:t>
      </w:r>
    </w:p>
    <w:p w:rsidR="00F13215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485D49">
        <w:rPr>
          <w:rFonts w:ascii="Verdana" w:hAnsi="Verdana"/>
          <w:b/>
          <w:sz w:val="20"/>
          <w:szCs w:val="20"/>
          <w:lang w:val="bg-BG"/>
        </w:rPr>
        <w:t>Очаква ли се дефицит на</w:t>
      </w:r>
      <w:r>
        <w:rPr>
          <w:rFonts w:ascii="Verdana" w:hAnsi="Verdana"/>
          <w:b/>
          <w:sz w:val="20"/>
          <w:szCs w:val="20"/>
          <w:lang w:val="bg-BG"/>
        </w:rPr>
        <w:t xml:space="preserve"> ориз и световните</w:t>
      </w:r>
      <w:r w:rsidRPr="00485D49">
        <w:rPr>
          <w:rFonts w:ascii="Verdana" w:hAnsi="Verdana"/>
          <w:b/>
          <w:sz w:val="20"/>
          <w:szCs w:val="20"/>
          <w:lang w:val="bg-BG"/>
        </w:rPr>
        <w:t xml:space="preserve"> цени.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На руския пазар се наблюдава лек спад на цените, което говори за голямо количество предложения и липса на дефицит. Световните цени може да паднат с 2-3%, но руския пазар неможе да почувства този спад, поради отслабването на националната валута. Въпреки това, стабилизирането на курса на рублата ще повлияе на чувствителността на националния пазар на ориз</w:t>
      </w:r>
      <w:r>
        <w:rPr>
          <w:rFonts w:ascii="Verdana" w:hAnsi="Verdana"/>
          <w:sz w:val="20"/>
          <w:szCs w:val="20"/>
          <w:lang w:val="bg-BG"/>
        </w:rPr>
        <w:t>а</w:t>
      </w:r>
      <w:r w:rsidRPr="00485D49">
        <w:rPr>
          <w:rFonts w:ascii="Verdana" w:hAnsi="Verdana"/>
          <w:sz w:val="20"/>
          <w:szCs w:val="20"/>
          <w:lang w:val="bg-BG"/>
        </w:rPr>
        <w:t xml:space="preserve"> към световните цени.</w:t>
      </w:r>
    </w:p>
    <w:p w:rsidR="00F13215" w:rsidRPr="00485D49" w:rsidRDefault="00F13215" w:rsidP="00F13215">
      <w:pPr>
        <w:pStyle w:val="NoSpacing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13215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485D49">
        <w:rPr>
          <w:rFonts w:ascii="Verdana" w:hAnsi="Verdana"/>
          <w:b/>
          <w:sz w:val="20"/>
          <w:szCs w:val="20"/>
          <w:lang w:val="bg-BG"/>
        </w:rPr>
        <w:t>Резултати за 2016 г.</w:t>
      </w:r>
    </w:p>
    <w:p w:rsidR="00F13215" w:rsidRPr="00485D49" w:rsidRDefault="00F13215" w:rsidP="00F13215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Гореизложената информация, позволява да се направят следните изводи за 2016 г.:</w:t>
      </w:r>
    </w:p>
    <w:p w:rsidR="00F13215" w:rsidRPr="00485D49" w:rsidRDefault="00F13215" w:rsidP="00F13215">
      <w:pPr>
        <w:pStyle w:val="NoSpacing"/>
        <w:spacing w:line="276" w:lineRule="auto"/>
        <w:ind w:left="708"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• Общите посевни площи на ориз в Русия са се увеличили с 4.9%;</w:t>
      </w:r>
    </w:p>
    <w:p w:rsidR="00F13215" w:rsidRPr="00485D49" w:rsidRDefault="00F13215" w:rsidP="00F13215">
      <w:pPr>
        <w:pStyle w:val="NoSpacing"/>
        <w:spacing w:line="276" w:lineRule="auto"/>
        <w:ind w:left="708"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• Количеството събрана реколта показа лек спад с 2.12%;</w:t>
      </w:r>
    </w:p>
    <w:p w:rsidR="00F13215" w:rsidRPr="00485D49" w:rsidRDefault="00F13215" w:rsidP="00F13215">
      <w:pPr>
        <w:pStyle w:val="NoSpacing"/>
        <w:spacing w:line="276" w:lineRule="auto"/>
        <w:ind w:left="708"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>• В същото време, според данни на Росстат, обема на производство на ориз се е увеличил с 9,6% и е достигнал 396, 3 хил.т.</w:t>
      </w:r>
    </w:p>
    <w:p w:rsidR="00F13215" w:rsidRPr="00485D49" w:rsidRDefault="00F13215" w:rsidP="00F13215">
      <w:pPr>
        <w:pStyle w:val="NoSpacing"/>
        <w:spacing w:line="276" w:lineRule="auto"/>
        <w:ind w:left="708" w:firstLine="708"/>
        <w:jc w:val="both"/>
        <w:rPr>
          <w:rFonts w:ascii="Verdana" w:hAnsi="Verdana"/>
          <w:sz w:val="20"/>
          <w:szCs w:val="20"/>
          <w:lang w:val="bg-BG"/>
        </w:rPr>
      </w:pPr>
      <w:r w:rsidRPr="00485D49">
        <w:rPr>
          <w:rFonts w:ascii="Verdana" w:hAnsi="Verdana"/>
          <w:sz w:val="20"/>
          <w:szCs w:val="20"/>
          <w:lang w:val="bg-BG"/>
        </w:rPr>
        <w:t xml:space="preserve">• Износът се е увеличил. </w:t>
      </w:r>
    </w:p>
    <w:p w:rsidR="00F13215" w:rsidRPr="00485D49" w:rsidRDefault="00F13215" w:rsidP="00F13215">
      <w:pPr>
        <w:pStyle w:val="NoSpacing"/>
        <w:spacing w:line="276" w:lineRule="auto"/>
        <w:ind w:left="708"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F13215" w:rsidRPr="00485D49" w:rsidRDefault="00F13215" w:rsidP="00F13215">
      <w:pPr>
        <w:pStyle w:val="NoSpacing"/>
        <w:spacing w:line="276" w:lineRule="auto"/>
        <w:ind w:left="708" w:firstLine="708"/>
        <w:jc w:val="right"/>
        <w:rPr>
          <w:rFonts w:ascii="Verdana" w:hAnsi="Verdana"/>
          <w:sz w:val="20"/>
          <w:szCs w:val="20"/>
          <w:lang w:val="bg-BG"/>
        </w:rPr>
      </w:pPr>
      <w:hyperlink r:id="rId7" w:history="1">
        <w:r w:rsidRPr="00424407">
          <w:rPr>
            <w:rStyle w:val="Hyperlink"/>
            <w:rFonts w:ascii="Verdana" w:hAnsi="Verdana"/>
            <w:sz w:val="20"/>
            <w:szCs w:val="20"/>
            <w:lang w:val="bg-BG"/>
          </w:rPr>
          <w:t>http://moneymakerfactory.ru/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  <w:r w:rsidRPr="00485D49">
        <w:rPr>
          <w:rFonts w:ascii="Verdana" w:hAnsi="Verdana"/>
          <w:sz w:val="20"/>
          <w:szCs w:val="20"/>
          <w:lang w:val="bg-BG"/>
        </w:rPr>
        <w:t xml:space="preserve"> </w:t>
      </w:r>
    </w:p>
    <w:p w:rsidR="008F3924" w:rsidRPr="00F13215" w:rsidRDefault="008F3924">
      <w:pPr>
        <w:rPr>
          <w:lang w:val="bg-BG"/>
        </w:rPr>
      </w:pPr>
      <w:bookmarkStart w:id="0" w:name="_GoBack"/>
      <w:bookmarkEnd w:id="0"/>
    </w:p>
    <w:sectPr w:rsidR="008F3924" w:rsidRPr="00F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73"/>
    <w:rsid w:val="008F3924"/>
    <w:rsid w:val="00A46F73"/>
    <w:rsid w:val="00F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32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3215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13215"/>
  </w:style>
  <w:style w:type="paragraph" w:styleId="NormalWeb">
    <w:name w:val="Normal (Web)"/>
    <w:basedOn w:val="Normal"/>
    <w:uiPriority w:val="99"/>
    <w:unhideWhenUsed/>
    <w:rsid w:val="00F1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32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3215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13215"/>
  </w:style>
  <w:style w:type="paragraph" w:styleId="NormalWeb">
    <w:name w:val="Normal (Web)"/>
    <w:basedOn w:val="Normal"/>
    <w:uiPriority w:val="99"/>
    <w:unhideWhenUsed/>
    <w:rsid w:val="00F1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eymakerfactor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Внос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януари-септември 2014</c:v>
                </c:pt>
                <c:pt idx="1">
                  <c:v>януари-септември 2015</c:v>
                </c:pt>
                <c:pt idx="2">
                  <c:v>януари-септември 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209.6</c:v>
                </c:pt>
                <c:pt idx="1">
                  <c:v>143.4</c:v>
                </c:pt>
                <c:pt idx="2">
                  <c:v>137.6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Износ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януари-септември 2014</c:v>
                </c:pt>
                <c:pt idx="1">
                  <c:v>януари-септември 2015</c:v>
                </c:pt>
                <c:pt idx="2">
                  <c:v>януари-септември 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64.400000000000006</c:v>
                </c:pt>
                <c:pt idx="1">
                  <c:v>114.8</c:v>
                </c:pt>
                <c:pt idx="2">
                  <c:v>135.5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484992"/>
        <c:axId val="188507264"/>
      </c:barChart>
      <c:catAx>
        <c:axId val="18848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507264"/>
        <c:crosses val="autoZero"/>
        <c:auto val="1"/>
        <c:lblAlgn val="ctr"/>
        <c:lblOffset val="100"/>
        <c:noMultiLvlLbl val="0"/>
      </c:catAx>
      <c:valAx>
        <c:axId val="18850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84992"/>
        <c:crosses val="autoZero"/>
        <c:crossBetween val="between"/>
      </c:valAx>
      <c:spPr>
        <a:solidFill>
          <a:srgbClr val="1F497D">
            <a:lumMod val="20000"/>
            <a:lumOff val="80000"/>
          </a:srgbClr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2017-05-11T08:53:00Z</dcterms:created>
  <dcterms:modified xsi:type="dcterms:W3CDTF">2017-05-11T08:54:00Z</dcterms:modified>
</cp:coreProperties>
</file>