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B4" w:rsidRPr="000F22AD" w:rsidRDefault="001E26B4" w:rsidP="001E26B4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b/>
          <w:sz w:val="20"/>
          <w:szCs w:val="20"/>
          <w:lang w:val="bg-BG"/>
        </w:rPr>
      </w:pPr>
      <w:bookmarkStart w:id="0" w:name="_GoBack"/>
      <w:r w:rsidRPr="000F22AD">
        <w:rPr>
          <w:rFonts w:ascii="Verdana" w:hAnsi="Verdana"/>
          <w:noProof/>
          <w:sz w:val="20"/>
          <w:szCs w:val="20"/>
        </w:rPr>
        <w:drawing>
          <wp:anchor distT="0" distB="36195" distL="114300" distR="114300" simplePos="0" relativeHeight="251659264" behindDoc="0" locked="0" layoutInCell="1" allowOverlap="1" wp14:anchorId="64FF47B4" wp14:editId="306EA20D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477600" cy="1951200"/>
            <wp:effectExtent l="0" t="0" r="8890" b="0"/>
            <wp:wrapSquare wrapText="bothSides"/>
            <wp:docPr id="18" name="Рисунок 18" descr="Картинки по запросу КАРТИНКИ одноразовой посу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одноразовой посу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2AD">
        <w:rPr>
          <w:rFonts w:ascii="Verdana" w:hAnsi="Verdana"/>
          <w:b/>
          <w:sz w:val="20"/>
          <w:szCs w:val="20"/>
          <w:lang w:val="bg-BG"/>
        </w:rPr>
        <w:t>ПРЕГЛЕД НА РУСКИЯ ПАЗАР НА АРТИКУЛИ ЗА ХРАНЕНЕ ЗА ЕДНОКРАТНА УПОТРЕБА</w:t>
      </w:r>
    </w:p>
    <w:bookmarkEnd w:id="0"/>
    <w:p w:rsidR="001E26B4" w:rsidRPr="000F22AD" w:rsidRDefault="001E26B4" w:rsidP="001E26B4">
      <w:pPr>
        <w:pStyle w:val="NormalWeb"/>
        <w:spacing w:before="0" w:beforeAutospacing="0" w:after="0" w:afterAutospacing="0"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E26B4" w:rsidRPr="000F22AD" w:rsidRDefault="001E26B4" w:rsidP="001E26B4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 xml:space="preserve">Руският пазар на </w:t>
      </w:r>
      <w:r>
        <w:rPr>
          <w:rFonts w:ascii="Verdana" w:hAnsi="Verdana"/>
          <w:sz w:val="20"/>
          <w:szCs w:val="20"/>
          <w:lang w:val="bg-BG" w:eastAsia="ru-RU"/>
        </w:rPr>
        <w:t>артикули</w:t>
      </w:r>
      <w:r w:rsidRPr="000F22AD">
        <w:rPr>
          <w:rFonts w:ascii="Verdana" w:hAnsi="Verdana"/>
          <w:sz w:val="20"/>
          <w:szCs w:val="20"/>
          <w:lang w:val="bg-BG" w:eastAsia="ru-RU"/>
        </w:rPr>
        <w:t xml:space="preserve"> за хранене за еднократна употреба, по резултатите от 2016 г. е нараснал с 5% в сравнение с 2015 г. и е достигнал обем от около 14 млрд. бройки. Трябва да се отбележи, че до 2015 г. този пазар е нарас</w:t>
      </w:r>
      <w:r>
        <w:rPr>
          <w:rFonts w:ascii="Verdana" w:hAnsi="Verdana"/>
          <w:sz w:val="20"/>
          <w:szCs w:val="20"/>
          <w:lang w:val="bg-BG" w:eastAsia="ru-RU"/>
        </w:rPr>
        <w:t>т</w:t>
      </w:r>
      <w:r w:rsidRPr="000F22AD">
        <w:rPr>
          <w:rFonts w:ascii="Verdana" w:hAnsi="Verdana"/>
          <w:sz w:val="20"/>
          <w:szCs w:val="20"/>
          <w:lang w:val="bg-BG" w:eastAsia="ru-RU"/>
        </w:rPr>
        <w:t>вал средно с 8-10% годишно. Ключовият фактор за ръста на продажбите</w:t>
      </w:r>
      <w:r>
        <w:rPr>
          <w:rFonts w:ascii="Verdana" w:hAnsi="Verdana"/>
          <w:sz w:val="20"/>
          <w:szCs w:val="20"/>
          <w:lang w:val="bg-BG" w:eastAsia="ru-RU"/>
        </w:rPr>
        <w:t xml:space="preserve"> </w:t>
      </w:r>
      <w:r w:rsidRPr="000F22AD">
        <w:rPr>
          <w:rFonts w:ascii="Verdana" w:hAnsi="Verdana"/>
          <w:sz w:val="20"/>
          <w:szCs w:val="20"/>
          <w:lang w:val="bg-BG" w:eastAsia="ru-RU"/>
        </w:rPr>
        <w:t>в Русия е развитието на заведения за бързо хранене. През 2016 г. сегментът на заведения за бързо хранене, който представлява до 50-55% от пазара за обществено хранене, е нараснал с 5-8% спрямо 2015 г. В същото време, пазарът за обществено хранене, като цяло, е намалял с 6-8%.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>Ръстът на сегмента за бързо хранене се обяснява просто: три водещи компании (чийто общ дял съставлява 70-80%) - McDonald's, Burger King и KFC - активно развиват своите мрежи, въпреки кризата.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>Според данни на Федералната служба за статистика и Федералната митническа служба, в пазарната структура на изделията за еднократна употреба по произход, според резултатите от 2016 г., около 89% в реално изражение се пада на местните производители, а делът на вноса е около 11%. Поради девалвацията на рублата, вносът на пластмасови съдове е намалял с 6%, а на хартиените - с 13% в реално изражение.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>Водеща позиция на пазара заемат полимерните съдове - те представляват около 60% в реално изражение. Делът на хартиените съдове е около 40%, но в бъдеще това съотношение ще се промен</w:t>
      </w:r>
      <w:r>
        <w:rPr>
          <w:rFonts w:ascii="Verdana" w:hAnsi="Verdana"/>
          <w:sz w:val="20"/>
          <w:szCs w:val="20"/>
          <w:lang w:val="bg-BG" w:eastAsia="ru-RU"/>
        </w:rPr>
        <w:t>я</w:t>
      </w:r>
      <w:r w:rsidRPr="000F22AD">
        <w:rPr>
          <w:rFonts w:ascii="Verdana" w:hAnsi="Verdana"/>
          <w:sz w:val="20"/>
          <w:szCs w:val="20"/>
          <w:lang w:val="bg-BG" w:eastAsia="ru-RU"/>
        </w:rPr>
        <w:t>, като делът на хартиените съдове ще нарасне. Това се дължи на развитието на веригите за бързо хранене, преди всичко на разширяването на водещите играчи - McDonald's, Burger King и KFC - в регионите.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>При вноса на полимерни съдове за еднократна употреба в Русия, най-голям дял има Китай - делът му в общия обем на внос е 50% и 48% съответно в</w:t>
      </w:r>
      <w:r>
        <w:rPr>
          <w:rFonts w:ascii="Verdana" w:hAnsi="Verdana"/>
          <w:sz w:val="20"/>
          <w:szCs w:val="20"/>
          <w:lang w:val="bg-BG" w:eastAsia="ru-RU"/>
        </w:rPr>
        <w:t>ъв</w:t>
      </w:r>
      <w:r w:rsidRPr="000F22AD">
        <w:rPr>
          <w:rFonts w:ascii="Verdana" w:hAnsi="Verdana"/>
          <w:sz w:val="20"/>
          <w:szCs w:val="20"/>
          <w:lang w:val="bg-BG" w:eastAsia="ru-RU"/>
        </w:rPr>
        <w:t xml:space="preserve"> физическо и стойностно отношение. Полимерни съдове за еднократна употреба също се внасят от Полша, Беларус, Италия, Германия и редица други страни, но техните дялове са незначителни.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>В края на 2016 г. се наблюдава спад на вноса на полимерни съдове от повечето страни, с изключение на Беларус.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</w:p>
    <w:p w:rsidR="001E26B4" w:rsidRDefault="001E26B4" w:rsidP="001E26B4">
      <w:pPr>
        <w:pStyle w:val="NoSpacing"/>
        <w:spacing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 w:eastAsia="ru-RU"/>
        </w:rPr>
      </w:pPr>
      <w:r w:rsidRPr="000F22AD">
        <w:rPr>
          <w:rFonts w:ascii="Verdana" w:hAnsi="Verdana"/>
          <w:i/>
          <w:sz w:val="20"/>
          <w:szCs w:val="20"/>
          <w:lang w:val="bg-BG" w:eastAsia="ru-RU"/>
        </w:rPr>
        <w:t>Обем на импорта на полимерни артикули за еднократна употреба според страна на произход в 2015 – 2016 г./ мил. бройки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 w:eastAsia="ru-RU"/>
        </w:rPr>
      </w:pPr>
    </w:p>
    <w:tbl>
      <w:tblPr>
        <w:tblStyle w:val="3-33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6"/>
      </w:tblGrid>
      <w:tr w:rsidR="001E26B4" w:rsidRPr="00EC5CC6" w:rsidTr="00C40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СТРАНА НА ПРОИЗХОД</w:t>
            </w:r>
          </w:p>
        </w:tc>
        <w:tc>
          <w:tcPr>
            <w:tcW w:w="3610" w:type="dxa"/>
            <w:gridSpan w:val="2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ПЕРИОДИ</w:t>
            </w:r>
          </w:p>
        </w:tc>
        <w:tc>
          <w:tcPr>
            <w:tcW w:w="3611" w:type="dxa"/>
            <w:gridSpan w:val="2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ИЗМЕНЕНИЯ ЗА ГОДИНА: ОТ 2015 ДО 2016 Г.</w:t>
            </w:r>
          </w:p>
        </w:tc>
      </w:tr>
      <w:tr w:rsidR="001E26B4" w:rsidRPr="00EC5CC6" w:rsidTr="00C4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1805" w:type="dxa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2015 г.</w:t>
            </w:r>
          </w:p>
        </w:tc>
        <w:tc>
          <w:tcPr>
            <w:tcW w:w="1805" w:type="dxa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2016 г.</w:t>
            </w:r>
          </w:p>
        </w:tc>
        <w:tc>
          <w:tcPr>
            <w:tcW w:w="1805" w:type="dxa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мил. бройки</w:t>
            </w:r>
          </w:p>
        </w:tc>
        <w:tc>
          <w:tcPr>
            <w:tcW w:w="1806" w:type="dxa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%</w:t>
            </w:r>
          </w:p>
        </w:tc>
      </w:tr>
      <w:tr w:rsidR="001E26B4" w:rsidRPr="00EC5CC6" w:rsidTr="00C40441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Китай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844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783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- 61</w:t>
            </w:r>
          </w:p>
        </w:tc>
        <w:tc>
          <w:tcPr>
            <w:tcW w:w="1806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-7</w:t>
            </w:r>
          </w:p>
        </w:tc>
      </w:tr>
      <w:tr w:rsidR="001E26B4" w:rsidRPr="00EC5CC6" w:rsidTr="00C4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Полша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149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127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-22</w:t>
            </w:r>
          </w:p>
        </w:tc>
        <w:tc>
          <w:tcPr>
            <w:tcW w:w="1806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-15</w:t>
            </w:r>
          </w:p>
        </w:tc>
      </w:tr>
      <w:tr w:rsidR="001E26B4" w:rsidRPr="00EC5CC6" w:rsidTr="00C40441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Беларус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108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177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70</w:t>
            </w:r>
          </w:p>
        </w:tc>
        <w:tc>
          <w:tcPr>
            <w:tcW w:w="1806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65</w:t>
            </w:r>
          </w:p>
        </w:tc>
      </w:tr>
      <w:tr w:rsidR="001E26B4" w:rsidRPr="00EC5CC6" w:rsidTr="00C4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Италия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112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104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-8</w:t>
            </w:r>
          </w:p>
        </w:tc>
        <w:tc>
          <w:tcPr>
            <w:tcW w:w="1806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-8</w:t>
            </w:r>
          </w:p>
        </w:tc>
      </w:tr>
      <w:tr w:rsidR="001E26B4" w:rsidRPr="00EC5CC6" w:rsidTr="00C40441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Други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432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362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-70</w:t>
            </w:r>
          </w:p>
        </w:tc>
        <w:tc>
          <w:tcPr>
            <w:tcW w:w="1806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-16</w:t>
            </w:r>
          </w:p>
        </w:tc>
      </w:tr>
    </w:tbl>
    <w:p w:rsidR="001E26B4" w:rsidRPr="00EC5CC6" w:rsidRDefault="001E26B4" w:rsidP="001E26B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1E26B4" w:rsidRDefault="001E26B4" w:rsidP="001E26B4">
      <w:pPr>
        <w:pStyle w:val="NoSpacing"/>
        <w:spacing w:line="276" w:lineRule="auto"/>
        <w:jc w:val="center"/>
        <w:rPr>
          <w:rFonts w:ascii="Verdana" w:hAnsi="Verdana"/>
          <w:i/>
          <w:sz w:val="20"/>
          <w:szCs w:val="20"/>
          <w:lang w:val="bg-BG" w:eastAsia="ru-RU"/>
        </w:rPr>
      </w:pPr>
    </w:p>
    <w:p w:rsidR="001E26B4" w:rsidRDefault="001E26B4" w:rsidP="001E26B4">
      <w:pPr>
        <w:pStyle w:val="NoSpacing"/>
        <w:spacing w:line="276" w:lineRule="auto"/>
        <w:jc w:val="center"/>
        <w:rPr>
          <w:rFonts w:ascii="Verdana" w:hAnsi="Verdana"/>
          <w:i/>
          <w:sz w:val="20"/>
          <w:szCs w:val="20"/>
          <w:lang w:val="bg-BG" w:eastAsia="ru-RU"/>
        </w:rPr>
      </w:pPr>
    </w:p>
    <w:p w:rsidR="001E26B4" w:rsidRPr="000F22AD" w:rsidRDefault="001E26B4" w:rsidP="001E26B4">
      <w:pPr>
        <w:pStyle w:val="NoSpacing"/>
        <w:spacing w:line="276" w:lineRule="auto"/>
        <w:jc w:val="center"/>
        <w:rPr>
          <w:rFonts w:ascii="Verdana" w:hAnsi="Verdana"/>
          <w:i/>
          <w:sz w:val="20"/>
          <w:szCs w:val="20"/>
          <w:lang w:val="bg-BG" w:eastAsia="ru-RU"/>
        </w:rPr>
      </w:pPr>
      <w:r w:rsidRPr="000F22AD">
        <w:rPr>
          <w:rFonts w:ascii="Verdana" w:hAnsi="Verdana"/>
          <w:i/>
          <w:sz w:val="20"/>
          <w:szCs w:val="20"/>
          <w:lang w:val="bg-BG" w:eastAsia="ru-RU"/>
        </w:rPr>
        <w:t>Обем на импорта на полимерни артикули за еднократна употреба според страна на</w:t>
      </w:r>
    </w:p>
    <w:p w:rsidR="001E26B4" w:rsidRPr="000F22AD" w:rsidRDefault="001E26B4" w:rsidP="001E26B4">
      <w:pPr>
        <w:pStyle w:val="NoSpacing"/>
        <w:spacing w:line="276" w:lineRule="auto"/>
        <w:jc w:val="center"/>
        <w:rPr>
          <w:rStyle w:val="NoSpacingChar"/>
          <w:rFonts w:ascii="Verdana" w:hAnsi="Verdana"/>
          <w:i/>
          <w:sz w:val="20"/>
          <w:szCs w:val="20"/>
          <w:lang w:val="bg-BG" w:eastAsia="ru-RU"/>
        </w:rPr>
      </w:pPr>
      <w:r w:rsidRPr="000F22AD">
        <w:rPr>
          <w:rFonts w:ascii="Verdana" w:hAnsi="Verdana"/>
          <w:i/>
          <w:sz w:val="20"/>
          <w:szCs w:val="20"/>
          <w:lang w:val="bg-BG" w:eastAsia="ru-RU"/>
        </w:rPr>
        <w:t>произход в 2015 – 2016 г./ мил. долара</w:t>
      </w:r>
    </w:p>
    <w:tbl>
      <w:tblPr>
        <w:tblStyle w:val="3-33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6"/>
      </w:tblGrid>
      <w:tr w:rsidR="001E26B4" w:rsidRPr="00EC5CC6" w:rsidTr="00C40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СТРАНА НА ПРОИЗХОД</w:t>
            </w:r>
          </w:p>
        </w:tc>
        <w:tc>
          <w:tcPr>
            <w:tcW w:w="3610" w:type="dxa"/>
            <w:gridSpan w:val="2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ПЕРИОДИ</w:t>
            </w:r>
          </w:p>
        </w:tc>
        <w:tc>
          <w:tcPr>
            <w:tcW w:w="3611" w:type="dxa"/>
            <w:gridSpan w:val="2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ИЗМЕНЕНИЯ ЗА ГОДИНА: ОТ 2015 ДО 2016 Г.</w:t>
            </w:r>
          </w:p>
        </w:tc>
      </w:tr>
      <w:tr w:rsidR="001E26B4" w:rsidRPr="00EC5CC6" w:rsidTr="00C4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1805" w:type="dxa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2015 г.</w:t>
            </w:r>
          </w:p>
        </w:tc>
        <w:tc>
          <w:tcPr>
            <w:tcW w:w="1805" w:type="dxa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2016 г.</w:t>
            </w:r>
          </w:p>
        </w:tc>
        <w:tc>
          <w:tcPr>
            <w:tcW w:w="1805" w:type="dxa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мил. долара</w:t>
            </w:r>
          </w:p>
        </w:tc>
        <w:tc>
          <w:tcPr>
            <w:tcW w:w="1806" w:type="dxa"/>
            <w:vAlign w:val="center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%</w:t>
            </w:r>
          </w:p>
        </w:tc>
      </w:tr>
      <w:tr w:rsidR="001E26B4" w:rsidRPr="00EC5CC6" w:rsidTr="00C40441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Китай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66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65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0</w:t>
            </w:r>
          </w:p>
        </w:tc>
        <w:tc>
          <w:tcPr>
            <w:tcW w:w="1806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0</w:t>
            </w:r>
          </w:p>
        </w:tc>
      </w:tr>
      <w:tr w:rsidR="001E26B4" w:rsidRPr="00EC5CC6" w:rsidTr="00C4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Полша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13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12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-1</w:t>
            </w:r>
          </w:p>
        </w:tc>
        <w:tc>
          <w:tcPr>
            <w:tcW w:w="1806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-11</w:t>
            </w:r>
          </w:p>
        </w:tc>
      </w:tr>
      <w:tr w:rsidR="001E26B4" w:rsidRPr="00EC5CC6" w:rsidTr="00C40441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 xml:space="preserve">Италия 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10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10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0</w:t>
            </w:r>
          </w:p>
        </w:tc>
        <w:tc>
          <w:tcPr>
            <w:tcW w:w="1806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-4</w:t>
            </w:r>
          </w:p>
        </w:tc>
      </w:tr>
      <w:tr w:rsidR="001E26B4" w:rsidRPr="00EC5CC6" w:rsidTr="00C4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Беларус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8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8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0</w:t>
            </w:r>
          </w:p>
        </w:tc>
        <w:tc>
          <w:tcPr>
            <w:tcW w:w="1806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4</w:t>
            </w:r>
          </w:p>
        </w:tc>
      </w:tr>
      <w:tr w:rsidR="001E26B4" w:rsidRPr="00EC5CC6" w:rsidTr="00C40441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Други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50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42</w:t>
            </w:r>
          </w:p>
        </w:tc>
        <w:tc>
          <w:tcPr>
            <w:tcW w:w="1805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-8</w:t>
            </w:r>
          </w:p>
        </w:tc>
        <w:tc>
          <w:tcPr>
            <w:tcW w:w="1806" w:type="dxa"/>
          </w:tcPr>
          <w:p w:rsidR="001E26B4" w:rsidRPr="00EC5CC6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C5CC6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-16</w:t>
            </w:r>
          </w:p>
        </w:tc>
      </w:tr>
    </w:tbl>
    <w:p w:rsidR="001E26B4" w:rsidRPr="000F22AD" w:rsidRDefault="001E26B4" w:rsidP="001E26B4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</w:pPr>
      <w:r w:rsidRPr="00EC5CC6"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  <w:t>Източник: Федерална митническа служба, аналитик I-Marketing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>Руският износ на полимерни артикули за еднократна употреба е насочен предимно към страните от ОНД, като основ</w:t>
      </w:r>
      <w:r>
        <w:rPr>
          <w:rFonts w:ascii="Verdana" w:hAnsi="Verdana"/>
          <w:sz w:val="20"/>
          <w:szCs w:val="20"/>
          <w:lang w:val="bg-BG" w:eastAsia="ru-RU"/>
        </w:rPr>
        <w:t>ен</w:t>
      </w:r>
      <w:r w:rsidRPr="000F22AD">
        <w:rPr>
          <w:rFonts w:ascii="Verdana" w:hAnsi="Verdana"/>
          <w:sz w:val="20"/>
          <w:szCs w:val="20"/>
          <w:lang w:val="bg-BG" w:eastAsia="ru-RU"/>
        </w:rPr>
        <w:t xml:space="preserve"> купувач се явява Казахстан, чийто дял е 50% и 54% от доставките, съответно в физическо и стойностно изражение. Значително по-малки количества се доставят в Беларус, Украйна, Киргизстан и Таджикистан.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>При вноса на хартиени артикули за еднократна употреба в Русия, най-голям дял заема Китай, въпреки че делът му е по-малък в сравнение с доставките на полимерни артикули за хранене - 39% във физическо и стойностно изражение. През последните две години, доставките от Италия в натурално изражение на хартиени артикули за еднократна употреба, са намалели, а доставките от Турция, Китай и други страни са се увеличили. В стойностно изражение се отбелязва спад в обемите на вноса за всички ключови доставчици.</w:t>
      </w:r>
    </w:p>
    <w:p w:rsidR="001E26B4" w:rsidRPr="000F22AD" w:rsidRDefault="001E26B4" w:rsidP="001E26B4">
      <w:pPr>
        <w:spacing w:after="0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</w:pPr>
    </w:p>
    <w:p w:rsidR="001E26B4" w:rsidRPr="000F22AD" w:rsidRDefault="001E26B4" w:rsidP="001E26B4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</w:pPr>
      <w:r w:rsidRPr="00E2774F"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  <w:t>Обем на импорта на хартиени артикули за еднократна употреба по страни на произход</w:t>
      </w:r>
    </w:p>
    <w:p w:rsidR="001E26B4" w:rsidRPr="00E2774F" w:rsidRDefault="001E26B4" w:rsidP="001E26B4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</w:pPr>
      <w:r w:rsidRPr="00E2774F"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  <w:t>в 2015 – 2016 г./ мил. бройки</w:t>
      </w:r>
    </w:p>
    <w:tbl>
      <w:tblPr>
        <w:tblStyle w:val="3-34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6"/>
      </w:tblGrid>
      <w:tr w:rsidR="001E26B4" w:rsidRPr="00E2774F" w:rsidTr="00C40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СТРАНА НА ПРОИЗХОД</w:t>
            </w:r>
          </w:p>
        </w:tc>
        <w:tc>
          <w:tcPr>
            <w:tcW w:w="3610" w:type="dxa"/>
            <w:gridSpan w:val="2"/>
            <w:vAlign w:val="center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ПЕРИОДИ</w:t>
            </w:r>
          </w:p>
        </w:tc>
        <w:tc>
          <w:tcPr>
            <w:tcW w:w="3611" w:type="dxa"/>
            <w:gridSpan w:val="2"/>
            <w:vAlign w:val="center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ИЗМЕНЕНИЯ ЗА ГОДИНА: ОТ 2015 ДО 2016 Г.</w:t>
            </w:r>
          </w:p>
        </w:tc>
      </w:tr>
      <w:tr w:rsidR="001E26B4" w:rsidRPr="00E2774F" w:rsidTr="00C4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2015 г.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2016 г.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мил. бройки</w:t>
            </w:r>
          </w:p>
        </w:tc>
        <w:tc>
          <w:tcPr>
            <w:tcW w:w="1806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%</w:t>
            </w:r>
          </w:p>
        </w:tc>
      </w:tr>
      <w:tr w:rsidR="001E26B4" w:rsidRPr="00E2774F" w:rsidTr="00C40441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Италия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113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53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-60</w:t>
            </w:r>
          </w:p>
        </w:tc>
        <w:tc>
          <w:tcPr>
            <w:tcW w:w="1806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-53</w:t>
            </w:r>
          </w:p>
        </w:tc>
      </w:tr>
      <w:tr w:rsidR="001E26B4" w:rsidRPr="00E2774F" w:rsidTr="00C4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Китай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105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108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</w:t>
            </w:r>
          </w:p>
        </w:tc>
        <w:tc>
          <w:tcPr>
            <w:tcW w:w="1806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</w:t>
            </w:r>
          </w:p>
        </w:tc>
      </w:tr>
      <w:tr w:rsidR="001E26B4" w:rsidRPr="00E2774F" w:rsidTr="00C40441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Турция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6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27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21</w:t>
            </w:r>
          </w:p>
        </w:tc>
        <w:tc>
          <w:tcPr>
            <w:tcW w:w="1806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370</w:t>
            </w:r>
          </w:p>
        </w:tc>
      </w:tr>
      <w:tr w:rsidR="001E26B4" w:rsidRPr="00E2774F" w:rsidTr="00C4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Други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16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88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72</w:t>
            </w:r>
          </w:p>
        </w:tc>
        <w:tc>
          <w:tcPr>
            <w:tcW w:w="1806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449</w:t>
            </w:r>
          </w:p>
        </w:tc>
      </w:tr>
    </w:tbl>
    <w:p w:rsidR="001E26B4" w:rsidRPr="00E2774F" w:rsidRDefault="001E26B4" w:rsidP="001E26B4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1E26B4" w:rsidRPr="000F22AD" w:rsidRDefault="001E26B4" w:rsidP="001E26B4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</w:pPr>
      <w:r w:rsidRPr="00E2774F"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  <w:t>Обем на импорта на хартиени артикули за еднократна употреба по страни на произход</w:t>
      </w:r>
    </w:p>
    <w:p w:rsidR="001E26B4" w:rsidRPr="00E2774F" w:rsidRDefault="001E26B4" w:rsidP="001E26B4">
      <w:pPr>
        <w:spacing w:after="0"/>
        <w:jc w:val="center"/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</w:pPr>
      <w:r w:rsidRPr="00E2774F"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  <w:t>в 2015 – 2016 г./ мил. долара</w:t>
      </w:r>
    </w:p>
    <w:tbl>
      <w:tblPr>
        <w:tblStyle w:val="3-34"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6"/>
      </w:tblGrid>
      <w:tr w:rsidR="001E26B4" w:rsidRPr="00E2774F" w:rsidTr="00C40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СТРАНА НА ПРОИЗХОД</w:t>
            </w:r>
          </w:p>
        </w:tc>
        <w:tc>
          <w:tcPr>
            <w:tcW w:w="3610" w:type="dxa"/>
            <w:gridSpan w:val="2"/>
            <w:vAlign w:val="center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ПЕРИОДИ</w:t>
            </w:r>
          </w:p>
        </w:tc>
        <w:tc>
          <w:tcPr>
            <w:tcW w:w="3611" w:type="dxa"/>
            <w:gridSpan w:val="2"/>
            <w:vAlign w:val="center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ИЗМЕНЕНИЯ ЗА ГОДИНА: ОТ 2015 ДО 2016 Г.</w:t>
            </w:r>
          </w:p>
        </w:tc>
      </w:tr>
      <w:tr w:rsidR="001E26B4" w:rsidRPr="00E2774F" w:rsidTr="00C4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2015 г.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2016 г.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мил. долара</w:t>
            </w:r>
          </w:p>
        </w:tc>
        <w:tc>
          <w:tcPr>
            <w:tcW w:w="1806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ru-RU"/>
              </w:rPr>
              <w:t>%</w:t>
            </w:r>
          </w:p>
        </w:tc>
      </w:tr>
      <w:tr w:rsidR="001E26B4" w:rsidRPr="00E2774F" w:rsidTr="00C40441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Италия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6,2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3,9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-2,3</w:t>
            </w:r>
          </w:p>
        </w:tc>
        <w:tc>
          <w:tcPr>
            <w:tcW w:w="1806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-37</w:t>
            </w:r>
          </w:p>
        </w:tc>
      </w:tr>
      <w:tr w:rsidR="001E26B4" w:rsidRPr="00E2774F" w:rsidTr="00C4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Китай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6,3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5,9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-0,4</w:t>
            </w:r>
          </w:p>
        </w:tc>
        <w:tc>
          <w:tcPr>
            <w:tcW w:w="1806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-6</w:t>
            </w:r>
          </w:p>
        </w:tc>
      </w:tr>
      <w:tr w:rsidR="001E26B4" w:rsidRPr="00E2774F" w:rsidTr="00C40441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Турция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0,7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0,3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-0,4</w:t>
            </w:r>
          </w:p>
        </w:tc>
        <w:tc>
          <w:tcPr>
            <w:tcW w:w="1806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-57</w:t>
            </w:r>
          </w:p>
        </w:tc>
      </w:tr>
      <w:tr w:rsidR="001E26B4" w:rsidRPr="00E2774F" w:rsidTr="00C40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Други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3,2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4,9</w:t>
            </w:r>
          </w:p>
        </w:tc>
        <w:tc>
          <w:tcPr>
            <w:tcW w:w="1805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1,7</w:t>
            </w:r>
          </w:p>
        </w:tc>
        <w:tc>
          <w:tcPr>
            <w:tcW w:w="1806" w:type="dxa"/>
          </w:tcPr>
          <w:p w:rsidR="001E26B4" w:rsidRPr="00E2774F" w:rsidRDefault="001E26B4" w:rsidP="00C40441">
            <w:pPr>
              <w:spacing w:before="100" w:beforeAutospacing="1" w:after="100" w:afterAutospacing="1"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</w:pPr>
            <w:r w:rsidRPr="00E2774F">
              <w:rPr>
                <w:rFonts w:ascii="Verdana" w:eastAsia="Times New Roman" w:hAnsi="Verdana" w:cs="Times New Roman"/>
                <w:sz w:val="20"/>
                <w:szCs w:val="20"/>
                <w:lang w:val="bg-BG" w:eastAsia="ru-RU"/>
              </w:rPr>
              <w:t>53</w:t>
            </w:r>
          </w:p>
        </w:tc>
      </w:tr>
    </w:tbl>
    <w:p w:rsidR="001E26B4" w:rsidRPr="00E2774F" w:rsidRDefault="001E26B4" w:rsidP="001E26B4">
      <w:pPr>
        <w:spacing w:after="0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</w:pPr>
    </w:p>
    <w:p w:rsidR="001E26B4" w:rsidRPr="00E2774F" w:rsidRDefault="001E26B4" w:rsidP="001E26B4">
      <w:pPr>
        <w:spacing w:after="0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</w:pPr>
      <w:r w:rsidRPr="00E2774F"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  <w:t>Източник: Федерална митническа служба, аналитик I-Marketing</w:t>
      </w:r>
    </w:p>
    <w:p w:rsidR="001E26B4" w:rsidRPr="00E2774F" w:rsidRDefault="001E26B4" w:rsidP="001E26B4">
      <w:pPr>
        <w:spacing w:after="0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ru-RU"/>
        </w:rPr>
      </w:pPr>
    </w:p>
    <w:p w:rsidR="001E26B4" w:rsidRPr="000F22AD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lastRenderedPageBreak/>
        <w:t>Русия основно изнася хартиени артикули за еднократна употреба за страните от митническия съюз - Казахстан и Беларус. Делът на Казахстан, според резултатите от 2016 г., е 33% в натурално и стойностно изражение, а делът на Беларус - 32%.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>Руският пазар на артикули за еднократна употреба в близко бъдеще ще нараства благодарение на развитието на веригите за бързо хранене и основно, за сметка на развитието им в регионите. Друг е въпросът, че по-голямата част от производителите на артикули за еднократна употреба няма да могат да се включат в това разпределение: големите играчи на заведенията за бързо хранене, играят с големите играчи на опаковъчната индустрия. Например, McDonald’s, KFC и Burger King купуват хартиени артикули за еднократна употреба от финландския производител Нuhtamaki (в Русия компанията е собственик на две фабрики - в Московска област и в Република Татарстан). Със същата компания работят и веригите "Кофе Хауз" и " Шоколадница". Следователно, повечето производители ще трябва да се задоволят с местните, регионалните и национални мрежи и ресторанти.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>Трябва да се отбележи, че приходите от руското подразделение на Нuhtamaki (OOO "Хухтамаки С.Н.Г.") през 2015 г. са били в размер на 5 млрд рубли, което е с 21% повече от 2014 г. (4,2 милиарда рубли) и 2 пъти повече от показателите на 2011 г. (2,4 милиарда рубли).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>Струва си особено да се обърне внимание на плановете за развитие в Русия на най-големите фирми за бързо хранене. Един от лидерите на този сегмент -  McDonald’s през 2016 г. е от</w:t>
      </w:r>
      <w:r>
        <w:rPr>
          <w:rFonts w:ascii="Verdana" w:hAnsi="Verdana"/>
          <w:sz w:val="20"/>
          <w:szCs w:val="20"/>
          <w:lang w:val="bg-BG" w:eastAsia="ru-RU"/>
        </w:rPr>
        <w:t>ворил</w:t>
      </w:r>
      <w:r w:rsidRPr="000F22AD">
        <w:rPr>
          <w:rFonts w:ascii="Verdana" w:hAnsi="Verdana"/>
          <w:sz w:val="20"/>
          <w:szCs w:val="20"/>
          <w:lang w:val="bg-BG" w:eastAsia="ru-RU"/>
        </w:rPr>
        <w:t xml:space="preserve"> 73 ресторанта. През 2017 г. е планирано да бъдат от</w:t>
      </w:r>
      <w:r>
        <w:rPr>
          <w:rFonts w:ascii="Verdana" w:hAnsi="Verdana"/>
          <w:sz w:val="20"/>
          <w:szCs w:val="20"/>
          <w:lang w:val="bg-BG" w:eastAsia="ru-RU"/>
        </w:rPr>
        <w:t>ворени</w:t>
      </w:r>
      <w:r w:rsidRPr="000F22AD">
        <w:rPr>
          <w:rFonts w:ascii="Verdana" w:hAnsi="Verdana"/>
          <w:sz w:val="20"/>
          <w:szCs w:val="20"/>
          <w:lang w:val="bg-BG" w:eastAsia="ru-RU"/>
        </w:rPr>
        <w:t xml:space="preserve"> още 50 заведения на територията на </w:t>
      </w:r>
      <w:r>
        <w:rPr>
          <w:rFonts w:ascii="Verdana" w:hAnsi="Verdana"/>
          <w:sz w:val="20"/>
          <w:szCs w:val="20"/>
          <w:lang w:val="bg-BG" w:eastAsia="ru-RU"/>
        </w:rPr>
        <w:t>Р</w:t>
      </w:r>
      <w:r w:rsidRPr="000F22AD">
        <w:rPr>
          <w:rFonts w:ascii="Verdana" w:hAnsi="Verdana"/>
          <w:sz w:val="20"/>
          <w:szCs w:val="20"/>
          <w:lang w:val="bg-BG" w:eastAsia="ru-RU"/>
        </w:rPr>
        <w:t>усия. В Сибир в продължение на 5 години се планира да се от</w:t>
      </w:r>
      <w:r>
        <w:rPr>
          <w:rFonts w:ascii="Verdana" w:hAnsi="Verdana"/>
          <w:sz w:val="20"/>
          <w:szCs w:val="20"/>
          <w:lang w:val="bg-BG" w:eastAsia="ru-RU"/>
        </w:rPr>
        <w:t>ворят</w:t>
      </w:r>
      <w:r w:rsidRPr="000F22AD">
        <w:rPr>
          <w:rFonts w:ascii="Verdana" w:hAnsi="Verdana"/>
          <w:sz w:val="20"/>
          <w:szCs w:val="20"/>
          <w:lang w:val="bg-BG" w:eastAsia="ru-RU"/>
        </w:rPr>
        <w:t xml:space="preserve"> 20 ресторанта на McDonald's.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>OOO "АмРест" (марки KFC и Pizza Hut) в течение на 3 години, планира да отвор</w:t>
      </w:r>
      <w:r>
        <w:rPr>
          <w:rFonts w:ascii="Verdana" w:hAnsi="Verdana"/>
          <w:sz w:val="20"/>
          <w:szCs w:val="20"/>
          <w:lang w:val="bg-BG" w:eastAsia="ru-RU"/>
        </w:rPr>
        <w:t>и</w:t>
      </w:r>
      <w:r w:rsidRPr="000F22AD">
        <w:rPr>
          <w:rFonts w:ascii="Verdana" w:hAnsi="Verdana"/>
          <w:sz w:val="20"/>
          <w:szCs w:val="20"/>
          <w:lang w:val="bg-BG" w:eastAsia="ru-RU"/>
        </w:rPr>
        <w:t xml:space="preserve"> 100 ресторанта на KFC в различни региони на Русия.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>Burger King Русия възнамерява в близко бъдеще да увеличи мрежата си с почти два пъти и да достигне до 500 точки в цялата страна.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>Също така, през 2016-2017 г. се планира от</w:t>
      </w:r>
      <w:r>
        <w:rPr>
          <w:rFonts w:ascii="Verdana" w:hAnsi="Verdana"/>
          <w:sz w:val="20"/>
          <w:szCs w:val="20"/>
          <w:lang w:val="bg-BG" w:eastAsia="ru-RU"/>
        </w:rPr>
        <w:t>варянето</w:t>
      </w:r>
      <w:r w:rsidRPr="000F22AD">
        <w:rPr>
          <w:rFonts w:ascii="Verdana" w:hAnsi="Verdana"/>
          <w:sz w:val="20"/>
          <w:szCs w:val="20"/>
          <w:lang w:val="bg-BG" w:eastAsia="ru-RU"/>
        </w:rPr>
        <w:t xml:space="preserve"> на около 30 ресторанта под франчайзинг от компанията " Г.М.Р. Планета Гостеприимства"(Sbarro и «Восточный базар»).</w:t>
      </w:r>
    </w:p>
    <w:p w:rsidR="001E26B4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>Обобщавайки,</w:t>
      </w:r>
      <w:r>
        <w:rPr>
          <w:rFonts w:ascii="Verdana" w:hAnsi="Verdana"/>
          <w:sz w:val="20"/>
          <w:szCs w:val="20"/>
          <w:lang w:val="bg-BG" w:eastAsia="ru-RU"/>
        </w:rPr>
        <w:t xml:space="preserve"> можем да констатираме следното:</w:t>
      </w:r>
      <w:r w:rsidRPr="000F22AD">
        <w:rPr>
          <w:rFonts w:ascii="Verdana" w:hAnsi="Verdana"/>
          <w:sz w:val="20"/>
          <w:szCs w:val="20"/>
          <w:lang w:val="bg-BG" w:eastAsia="ru-RU"/>
        </w:rPr>
        <w:t xml:space="preserve"> </w:t>
      </w:r>
      <w:r>
        <w:rPr>
          <w:rFonts w:ascii="Verdana" w:hAnsi="Verdana"/>
          <w:sz w:val="20"/>
          <w:szCs w:val="20"/>
          <w:lang w:val="bg-BG" w:eastAsia="ru-RU"/>
        </w:rPr>
        <w:t>р</w:t>
      </w:r>
      <w:r w:rsidRPr="000F22AD">
        <w:rPr>
          <w:rFonts w:ascii="Verdana" w:hAnsi="Verdana"/>
          <w:sz w:val="20"/>
          <w:szCs w:val="20"/>
          <w:lang w:val="bg-BG" w:eastAsia="ru-RU"/>
        </w:rPr>
        <w:t>уският пазар на артикули за еднократна употреба има голям потенциал за развитие. Този потенциал се дължи на изоставането на най-големия потребител на артикули за еднократна употреба - руският пазар за обществено хранене - от европейските страни и САЩ. Очевидно е, че руският пазар за обществено хранене ще се стреми да догонва показателите на пазарите за обществено хранене на развитите страни. Въпреки това съществуват редица ограничаващи фактори. Първо, това е кризата в руската икономика и спада на покупателната способност на населението. Второ, един от малкото сегменти от сектора за обществено хранене, показващ ръст в условията на криза, е сегментът за бързо хранене. Почти 55% от пазара за обществено хранене се пада на сегмента за бързо хранене, в който до 80% се заема от трите най-големи фирми: McDonald's, KFC и Burger King.</w:t>
      </w:r>
    </w:p>
    <w:p w:rsidR="001E26B4" w:rsidRDefault="001E26B4" w:rsidP="001E26B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F22AD">
        <w:rPr>
          <w:rFonts w:ascii="Verdana" w:hAnsi="Verdana"/>
          <w:sz w:val="20"/>
          <w:szCs w:val="20"/>
          <w:lang w:val="bg-BG" w:eastAsia="ru-RU"/>
        </w:rPr>
        <w:t>Техните мрежи са и ще бъдат локомотив за развитието на бързото хранене в Русия и ключови потребители на хартиени артикули за еднократна употреба.</w:t>
      </w:r>
    </w:p>
    <w:p w:rsidR="001E26B4" w:rsidRPr="000F22AD" w:rsidRDefault="001E26B4" w:rsidP="001E26B4">
      <w:pPr>
        <w:pStyle w:val="NoSpacing"/>
        <w:spacing w:line="276" w:lineRule="auto"/>
        <w:ind w:firstLine="708"/>
        <w:jc w:val="right"/>
        <w:rPr>
          <w:rFonts w:ascii="Verdana" w:hAnsi="Verdana"/>
          <w:sz w:val="20"/>
          <w:szCs w:val="20"/>
          <w:lang w:val="bg-BG"/>
        </w:rPr>
      </w:pPr>
      <w:hyperlink r:id="rId6" w:history="1">
        <w:r w:rsidRPr="000F22AD">
          <w:rPr>
            <w:rStyle w:val="Hyperlink"/>
            <w:rFonts w:ascii="Verdana" w:hAnsi="Verdana"/>
            <w:sz w:val="20"/>
            <w:szCs w:val="20"/>
            <w:lang w:val="bg-BG" w:eastAsia="ru-RU"/>
          </w:rPr>
          <w:t>http://www.foodmarket.spb.ru/</w:t>
        </w:r>
      </w:hyperlink>
      <w:r w:rsidRPr="000F22AD">
        <w:rPr>
          <w:rFonts w:ascii="Verdana" w:hAnsi="Verdana"/>
          <w:sz w:val="20"/>
          <w:szCs w:val="20"/>
          <w:lang w:val="bg-BG" w:eastAsia="ru-RU"/>
        </w:rPr>
        <w:t xml:space="preserve"> </w:t>
      </w:r>
    </w:p>
    <w:p w:rsidR="00B62838" w:rsidRPr="001E26B4" w:rsidRDefault="00B62838">
      <w:pPr>
        <w:rPr>
          <w:lang w:val="bg-BG"/>
        </w:rPr>
      </w:pPr>
    </w:p>
    <w:sectPr w:rsidR="00B62838" w:rsidRPr="001E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48"/>
    <w:rsid w:val="001E26B4"/>
    <w:rsid w:val="001F7048"/>
    <w:rsid w:val="00B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26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26B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E26B4"/>
  </w:style>
  <w:style w:type="paragraph" w:styleId="NormalWeb">
    <w:name w:val="Normal (Web)"/>
    <w:basedOn w:val="Normal"/>
    <w:uiPriority w:val="99"/>
    <w:unhideWhenUsed/>
    <w:rsid w:val="001E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-33">
    <w:name w:val="Средняя сетка 3 - Акцент 33"/>
    <w:basedOn w:val="TableNormal"/>
    <w:next w:val="MediumGrid3-Accent3"/>
    <w:uiPriority w:val="69"/>
    <w:rsid w:val="001E26B4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34">
    <w:name w:val="Средняя сетка 3 - Акцент 34"/>
    <w:basedOn w:val="TableNormal"/>
    <w:next w:val="MediumGrid3-Accent3"/>
    <w:uiPriority w:val="69"/>
    <w:rsid w:val="001E26B4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1E26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26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26B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E26B4"/>
  </w:style>
  <w:style w:type="paragraph" w:styleId="NormalWeb">
    <w:name w:val="Normal (Web)"/>
    <w:basedOn w:val="Normal"/>
    <w:uiPriority w:val="99"/>
    <w:unhideWhenUsed/>
    <w:rsid w:val="001E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-33">
    <w:name w:val="Средняя сетка 3 - Акцент 33"/>
    <w:basedOn w:val="TableNormal"/>
    <w:next w:val="MediumGrid3-Accent3"/>
    <w:uiPriority w:val="69"/>
    <w:rsid w:val="001E26B4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34">
    <w:name w:val="Средняя сетка 3 - Акцент 34"/>
    <w:basedOn w:val="TableNormal"/>
    <w:next w:val="MediumGrid3-Accent3"/>
    <w:uiPriority w:val="69"/>
    <w:rsid w:val="001E26B4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1E26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odmarket.spb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2017-09-25T09:06:00Z</dcterms:created>
  <dcterms:modified xsi:type="dcterms:W3CDTF">2017-09-25T09:06:00Z</dcterms:modified>
</cp:coreProperties>
</file>