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9" w:rsidRDefault="00F824F9" w:rsidP="00F824F9">
      <w:pPr>
        <w:pStyle w:val="a6"/>
        <w:ind w:firstLine="708"/>
        <w:rPr>
          <w:rStyle w:val="a3"/>
          <w:rFonts w:ascii="Verdana" w:hAnsi="Verdana"/>
          <w:b/>
          <w:sz w:val="20"/>
          <w:szCs w:val="20"/>
          <w:lang w:val="bg-BG"/>
        </w:rPr>
      </w:pPr>
    </w:p>
    <w:p w:rsidR="00F824F9" w:rsidRPr="00F824F9" w:rsidRDefault="00F824F9" w:rsidP="00F824F9">
      <w:pPr>
        <w:pStyle w:val="a6"/>
        <w:spacing w:line="276" w:lineRule="auto"/>
        <w:jc w:val="center"/>
        <w:rPr>
          <w:rStyle w:val="a3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F824F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5133EBF4" wp14:editId="4FEFDD1C">
            <wp:simplePos x="0" y="0"/>
            <wp:positionH relativeFrom="column">
              <wp:posOffset>-1270</wp:posOffset>
            </wp:positionH>
            <wp:positionV relativeFrom="paragraph">
              <wp:posOffset>24130</wp:posOffset>
            </wp:positionV>
            <wp:extent cx="2969260" cy="1644650"/>
            <wp:effectExtent l="0" t="0" r="2540" b="0"/>
            <wp:wrapSquare wrapText="bothSides"/>
            <wp:docPr id="3" name="irc_mi" descr="http://hti-design.ru/images/sports-bar/1-Sport-bar-desig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ti-design.ru/images/sports-bar/1-Sport-bar-desig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24F9">
        <w:rPr>
          <w:rStyle w:val="a3"/>
          <w:rFonts w:ascii="Verdana" w:hAnsi="Verdana"/>
          <w:b/>
          <w:color w:val="auto"/>
          <w:sz w:val="20"/>
          <w:szCs w:val="20"/>
          <w:u w:val="none"/>
          <w:lang w:val="bg-BG"/>
        </w:rPr>
        <w:t>БИЗНЕС-ЛАНЧ И ХАЛБА БИРА - ПРЕГЛЕД НА ПАЗАРА НА СПОРТНИ БАРОВЕ В МОСКВА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F824F9" w:rsidRPr="00F824F9" w:rsidRDefault="00F824F9" w:rsidP="00F824F9">
      <w:pPr>
        <w:pStyle w:val="a6"/>
        <w:spacing w:line="276" w:lineRule="auto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 xml:space="preserve">Заведенията за обществено хранене в Москва придобиват все по-голяма популярност и постоянно се разрастват. Според социологическите изследвания, по-голямата част от московчаните посещават с различна периодичност ресторанти, кафенета, барове и др. Средният потребител не </w:t>
      </w:r>
    </w:p>
    <w:p w:rsidR="00F824F9" w:rsidRPr="00F824F9" w:rsidRDefault="00F824F9" w:rsidP="00F824F9">
      <w:pPr>
        <w:pStyle w:val="a6"/>
        <w:spacing w:line="276" w:lineRule="auto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успява да проследи, как едно заведение се заменя с друго, как се променят концепциите,появяват се нови формати и се разширява асортимента на предлаганите услуги.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В периода от 2009 г. до 2014 г. броят на заведенията за обществено хранене в Москва се е увеличавал средно с 2,4% годишно, като през 2013 г. са били около 11 хиляди. Към средата на 2014 г. в Москва са били регистрирани около 140 спортни барове с различни ценови категории. В половината от тях средната цена на чека е в диапазона от 500 до 1000 рубли, като по-евтини са малко повече от 40 заведения, а в 17% от общия брой спортни барове средната цена на чека е 1 000 -1 500 рубли.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F824F9" w:rsidRPr="00F824F9" w:rsidRDefault="00F824F9" w:rsidP="00F824F9">
      <w:pPr>
        <w:pStyle w:val="a6"/>
        <w:spacing w:line="276" w:lineRule="auto"/>
        <w:ind w:firstLine="708"/>
        <w:jc w:val="center"/>
        <w:rPr>
          <w:rStyle w:val="a3"/>
          <w:rFonts w:ascii="Verdana" w:hAnsi="Verdana"/>
          <w:i/>
          <w:color w:val="auto"/>
          <w:sz w:val="18"/>
          <w:szCs w:val="18"/>
          <w:u w:val="none"/>
          <w:lang w:val="bg-BG"/>
        </w:rPr>
      </w:pPr>
      <w:r w:rsidRPr="00F824F9">
        <w:rPr>
          <w:rStyle w:val="a3"/>
          <w:rFonts w:ascii="Verdana" w:hAnsi="Verdana"/>
          <w:i/>
          <w:color w:val="auto"/>
          <w:sz w:val="18"/>
          <w:szCs w:val="18"/>
          <w:u w:val="none"/>
          <w:lang w:val="bg-BG"/>
        </w:rPr>
        <w:t>Структура на московските спортни барове според средната цена на чека.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lang w:val="bg-BG"/>
        </w:rPr>
      </w:pPr>
    </w:p>
    <w:p w:rsidR="00F824F9" w:rsidRDefault="00F824F9" w:rsidP="00F824F9">
      <w:pPr>
        <w:pStyle w:val="a6"/>
        <w:spacing w:line="276" w:lineRule="auto"/>
        <w:ind w:firstLine="708"/>
        <w:jc w:val="center"/>
        <w:rPr>
          <w:rStyle w:val="a3"/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 wp14:anchorId="23CB423E" wp14:editId="47B902F0">
            <wp:extent cx="4006850" cy="18161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По време на спортни събития от национален и световен мащаб, рязко се увеличава търсенето от страна на потребителите на спортни предавания. По-голямата част от ресторантите, кафенетата и баровете, инсталират специално оборудване за транслация на съревнованията.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Разбира се, транслациите на съревнованията не е единственото, от което се нуждаят посетителите на спортните барове. Допълнително, московските заведения привличат клиентите, като им предоставят безплатно Wi-Fi, включват в менюто си бизнес-ланч и предоставят паркинги. Достъп до Интернет има в 53% баровете, бизнес-ланч се предлага във всяко трето заведение, а във всяко пето има възможност за паркиране.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Що се отнася до кухнята, то тук безспорен лидер са европейските ястия, които се предлагат в 93% от спортните барове в Москва. По-трудно е да се намерят заведения с домашна кухня – в по-малко от една трета от баровете, както и американска - само в 14% от тези заведения.</w:t>
      </w:r>
    </w:p>
    <w:p w:rsidR="00F824F9" w:rsidRPr="00F824F9" w:rsidRDefault="00F824F9" w:rsidP="00F824F9">
      <w:pPr>
        <w:pStyle w:val="a6"/>
        <w:spacing w:line="276" w:lineRule="auto"/>
        <w:ind w:firstLine="708"/>
        <w:jc w:val="both"/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</w:pPr>
      <w:r w:rsidRPr="00F824F9">
        <w:rPr>
          <w:rStyle w:val="a3"/>
          <w:rFonts w:ascii="Verdana" w:hAnsi="Verdana"/>
          <w:color w:val="auto"/>
          <w:sz w:val="20"/>
          <w:szCs w:val="20"/>
          <w:u w:val="none"/>
          <w:lang w:val="bg-BG"/>
        </w:rPr>
        <w:t>Разбира се, възможност да се гледат спортни състезания има не само в специализираните заведения, но спортните барове имат своята специфика, атмосфера и целева аудитория, която не е присъща за другите заведения.</w:t>
      </w:r>
    </w:p>
    <w:p w:rsidR="005817DD" w:rsidRDefault="00F824F9" w:rsidP="00F824F9">
      <w:pPr>
        <w:pStyle w:val="a6"/>
        <w:spacing w:line="276" w:lineRule="auto"/>
        <w:ind w:firstLine="708"/>
        <w:jc w:val="right"/>
      </w:pPr>
      <w:hyperlink r:id="rId8" w:history="1">
        <w:r w:rsidRPr="00F20B14">
          <w:rPr>
            <w:rStyle w:val="a3"/>
            <w:rFonts w:ascii="Verdana" w:hAnsi="Verdana"/>
            <w:sz w:val="20"/>
            <w:szCs w:val="20"/>
            <w:lang w:val="bg-BG"/>
          </w:rPr>
          <w:t>http://marketing.rbc.ru/</w:t>
        </w:r>
      </w:hyperlink>
      <w:bookmarkStart w:id="0" w:name="_GoBack"/>
      <w:bookmarkEnd w:id="0"/>
    </w:p>
    <w:sectPr w:rsidR="005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5"/>
    <w:rsid w:val="005817DD"/>
    <w:rsid w:val="00A50DC5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4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F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824F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8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4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4F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824F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8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rbc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CAcQjRw&amp;url=http://hti-design.ru/portfolio/projects/sports-bar-project.html&amp;ei=dbQSVbz8Nou7ygPw84CQBQ&amp;bvm=bv.89184060,d.bGQ&amp;psig=AFQjCNHM95x0UE164iwR2leCh8ph0copFg&amp;ust=1427375508945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79720977825493E-2"/>
          <c:y val="0.21104564726611971"/>
          <c:w val="0.5258784331831744"/>
          <c:h val="0.636544243158416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noFill/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500 руб.</c:v>
                </c:pt>
                <c:pt idx="1">
                  <c:v>500-1000 руб.</c:v>
                </c:pt>
                <c:pt idx="2">
                  <c:v>1000-1500 руб.</c:v>
                </c:pt>
                <c:pt idx="3">
                  <c:v>1500-2000 руб.</c:v>
                </c:pt>
                <c:pt idx="4">
                  <c:v>2000-3000 руб.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0.31000000000000011</c:v>
                </c:pt>
                <c:pt idx="1">
                  <c:v>0.5</c:v>
                </c:pt>
                <c:pt idx="2">
                  <c:v>0.17</c:v>
                </c:pt>
                <c:pt idx="3">
                  <c:v>1.0000000000000004E-2</c:v>
                </c:pt>
                <c:pt idx="4">
                  <c:v>1.0000000000000004E-2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021875038995719"/>
          <c:y val="0.13542976708331039"/>
          <c:w val="0.25513308459263501"/>
          <c:h val="0.63226969880513184"/>
        </c:manualLayout>
      </c:layout>
      <c:overlay val="0"/>
    </c:legend>
    <c:plotVisOnly val="1"/>
    <c:dispBlanksAs val="zero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2015-04-02T13:05:00Z</dcterms:created>
  <dcterms:modified xsi:type="dcterms:W3CDTF">2015-04-02T13:06:00Z</dcterms:modified>
</cp:coreProperties>
</file>