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C4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r w:rsidRPr="00C214A7">
        <w:rPr>
          <w:rFonts w:ascii="Verdana" w:hAnsi="Verdana"/>
          <w:b/>
          <w:sz w:val="20"/>
          <w:szCs w:val="20"/>
          <w:lang w:val="bg-BG"/>
        </w:rPr>
        <w:t>ВНОСЪТ НА КРИСТАЛНА ГЛ</w:t>
      </w:r>
      <w:r>
        <w:rPr>
          <w:rFonts w:ascii="Verdana" w:hAnsi="Verdana"/>
          <w:b/>
          <w:sz w:val="20"/>
          <w:szCs w:val="20"/>
          <w:lang w:val="bg-BG"/>
        </w:rPr>
        <w:t>И</w:t>
      </w:r>
      <w:r w:rsidRPr="00C214A7">
        <w:rPr>
          <w:rFonts w:ascii="Verdana" w:hAnsi="Verdana"/>
          <w:b/>
          <w:sz w:val="20"/>
          <w:szCs w:val="20"/>
          <w:lang w:val="bg-BG"/>
        </w:rPr>
        <w:t>КОЗА В РУСИЯ З</w:t>
      </w:r>
      <w:r>
        <w:rPr>
          <w:rFonts w:ascii="Verdana" w:hAnsi="Verdana"/>
          <w:b/>
          <w:sz w:val="20"/>
          <w:szCs w:val="20"/>
          <w:lang w:val="bg-BG"/>
        </w:rPr>
        <w:t>А</w:t>
      </w:r>
      <w:r w:rsidRPr="00C214A7">
        <w:rPr>
          <w:rFonts w:ascii="Verdana" w:hAnsi="Verdana"/>
          <w:b/>
          <w:sz w:val="20"/>
          <w:szCs w:val="20"/>
          <w:lang w:val="bg-BG"/>
        </w:rPr>
        <w:t xml:space="preserve"> ПЕРИОДА</w:t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b/>
          <w:sz w:val="20"/>
          <w:szCs w:val="20"/>
          <w:lang w:val="bg-BG"/>
        </w:rPr>
      </w:pPr>
      <w:r w:rsidRPr="00C214A7">
        <w:rPr>
          <w:rFonts w:ascii="Verdana" w:hAnsi="Verdana"/>
          <w:b/>
          <w:sz w:val="20"/>
          <w:szCs w:val="20"/>
          <w:lang w:val="bg-BG"/>
        </w:rPr>
        <w:t xml:space="preserve"> 2014 </w:t>
      </w:r>
      <w:r>
        <w:rPr>
          <w:rFonts w:ascii="Verdana" w:hAnsi="Verdana"/>
          <w:b/>
          <w:sz w:val="20"/>
          <w:szCs w:val="20"/>
          <w:lang w:val="bg-BG"/>
        </w:rPr>
        <w:t xml:space="preserve">г. </w:t>
      </w:r>
      <w:r w:rsidRPr="00C214A7">
        <w:rPr>
          <w:rFonts w:ascii="Verdana" w:hAnsi="Verdana"/>
          <w:b/>
          <w:sz w:val="20"/>
          <w:szCs w:val="20"/>
          <w:lang w:val="bg-BG"/>
        </w:rPr>
        <w:t>– ПЪРВО ТРИМЕСЕЧИЕ НА 2017 Г.</w:t>
      </w:r>
    </w:p>
    <w:bookmarkEnd w:id="0"/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214A7">
        <w:rPr>
          <w:rFonts w:ascii="Verdana" w:hAnsi="Verdana"/>
          <w:sz w:val="20"/>
          <w:szCs w:val="20"/>
          <w:lang w:val="bg-BG"/>
        </w:rPr>
        <w:t xml:space="preserve">Един от зависимите от вноса сегменти на пазара на заменители на захарта е кристалната гликоза. Според ID-Marketing, вносът на кристална гликоза през 2014 г. надхвърля 34 хил. тона, като се е повишил в сравнение с 2013 г. с 1.5%. В края на 2015 г. руските компании намаляват обема на покупките на този вид продукт от чужбина, а през 2016 г. този показател спадна с още 13,8% в сравнение с 2015 г. През първото тримесечие </w:t>
      </w:r>
      <w:r>
        <w:rPr>
          <w:rFonts w:ascii="Verdana" w:hAnsi="Verdana"/>
          <w:sz w:val="20"/>
          <w:szCs w:val="20"/>
          <w:lang w:val="bg-BG"/>
        </w:rPr>
        <w:t>на</w:t>
      </w:r>
      <w:r w:rsidRPr="00C214A7">
        <w:rPr>
          <w:rFonts w:ascii="Verdana" w:hAnsi="Verdana"/>
          <w:sz w:val="20"/>
          <w:szCs w:val="20"/>
          <w:lang w:val="bg-BG"/>
        </w:rPr>
        <w:t xml:space="preserve"> 2017 г. се отбелязва увеличение на вноса на кристална гликоза в Русия в сравнение с 1 тримесечие на 2016 г., като обемът на доставките се е увеличил с 8,5%.</w:t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214A7">
        <w:rPr>
          <w:rFonts w:ascii="Verdana" w:hAnsi="Verdana"/>
          <w:sz w:val="20"/>
          <w:szCs w:val="20"/>
          <w:lang w:val="bg-BG"/>
        </w:rPr>
        <w:t>Повече от 90% от общия обем на вноса на кристална гликоза през 2016 г. е предназначен за хранителната промишленост. Обемите на доставки за хранителни цели в сравнение с 2015 г. са намалели с 13,1%. През първото тримесечие на 2017 г. вносът се е увеличил в сравнение с 1 тримесечие на 2016 г. с 5.5%.</w:t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214A7">
        <w:rPr>
          <w:rFonts w:ascii="Verdana" w:hAnsi="Verdana"/>
          <w:sz w:val="20"/>
          <w:szCs w:val="20"/>
          <w:lang w:val="bg-BG"/>
        </w:rPr>
        <w:t>Повече от 6,5% от общия обем на доставките през 2016 г. е за продукти на фармацевтичната промишленост. В сравнение с 2015 г. вносът на кристална гликоза за фармацевтични продукти е намалял с 35,5%.</w:t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214A7">
        <w:rPr>
          <w:rFonts w:ascii="Verdana" w:hAnsi="Verdana"/>
          <w:sz w:val="20"/>
          <w:szCs w:val="20"/>
          <w:lang w:val="bg-BG"/>
        </w:rPr>
        <w:t>Най-големият обем на вноса на кристална гликоза през 2016 г. се пада на Китай - 62,4% от съвкупната стойност на показателя</w:t>
      </w:r>
      <w:r>
        <w:rPr>
          <w:rFonts w:ascii="Verdana" w:hAnsi="Verdana"/>
          <w:sz w:val="20"/>
          <w:szCs w:val="20"/>
          <w:lang w:val="bg-BG"/>
        </w:rPr>
        <w:t>.</w:t>
      </w:r>
      <w:r w:rsidRPr="00C214A7">
        <w:rPr>
          <w:rFonts w:ascii="Verdana" w:hAnsi="Verdana"/>
          <w:sz w:val="20"/>
          <w:szCs w:val="20"/>
          <w:lang w:val="bg-BG"/>
        </w:rPr>
        <w:t xml:space="preserve"> Също така в първата тройка са Франция и Италия, чийто дял е съответно 21% и 9,3% от вноса. Трябва да се отбележи, че в сравнение с 2015 г. руските компании са увеличили покупките на китайска кристална гликоза през 2016 г. с 21,9%, докато вносът на продукта с френски произход е намалял наполовина.</w:t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18"/>
          <w:szCs w:val="18"/>
          <w:lang w:val="bg-BG"/>
        </w:rPr>
      </w:pPr>
      <w:r w:rsidRPr="00C214A7">
        <w:rPr>
          <w:rFonts w:ascii="Verdana" w:hAnsi="Verdana"/>
          <w:i/>
          <w:sz w:val="18"/>
          <w:szCs w:val="18"/>
          <w:lang w:val="bg-BG"/>
        </w:rPr>
        <w:t>Дял на страните производителки при вноса на кристална глюкоза през 2016 г.,% (натурално изражение)</w:t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18"/>
          <w:szCs w:val="18"/>
          <w:lang w:val="bg-BG"/>
        </w:rPr>
      </w:pPr>
      <w:r w:rsidRPr="00C214A7"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4F0E3FF9" wp14:editId="70B91636">
            <wp:extent cx="4197350" cy="2813050"/>
            <wp:effectExtent l="0" t="0" r="0" b="63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18"/>
          <w:szCs w:val="18"/>
          <w:lang w:val="bg-BG"/>
        </w:rPr>
      </w:pP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18"/>
          <w:szCs w:val="18"/>
          <w:lang w:val="bg-BG"/>
        </w:rPr>
      </w:pP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214A7">
        <w:rPr>
          <w:rFonts w:ascii="Verdana" w:hAnsi="Verdana"/>
          <w:sz w:val="20"/>
          <w:szCs w:val="20"/>
          <w:lang w:val="bg-BG"/>
        </w:rPr>
        <w:t xml:space="preserve">Сред чуждестранните производители, които доставят кристална гликоза в Русия, безспорен лидер по отношение на обема е френската компания Roquette Freres. През 2016 г. нейният дял е достигнал 29,9% от общия обем на внесената в Русия кристална гликоза. Roquette Freres е един от най-големите в света производители на натурално нишесте и неговите преработени продукти. Групата "Roquette" включва повече от 40 представителства в Европа, Америка, Азия и Индия, които включват търговски обекти, </w:t>
      </w:r>
      <w:r w:rsidRPr="00C214A7">
        <w:rPr>
          <w:rFonts w:ascii="Verdana" w:hAnsi="Verdana"/>
          <w:sz w:val="20"/>
          <w:szCs w:val="20"/>
          <w:lang w:val="bg-BG"/>
        </w:rPr>
        <w:lastRenderedPageBreak/>
        <w:t>производствени обекти, центрове за изследвания и развитие. В сравнение с 2015 г. вносът на кристална гликоза от Roquette Freres в Русия през 2016 г. е намалял с 28,2%.</w:t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214A7">
        <w:rPr>
          <w:rFonts w:ascii="Verdana" w:hAnsi="Verdana"/>
          <w:sz w:val="20"/>
          <w:szCs w:val="20"/>
          <w:lang w:val="bg-BG"/>
        </w:rPr>
        <w:t>На второ място по отношение на вноса на кристална гликоза в Русия през 2016 г. сред производителите, заема китайската компания Hulunbeier Northeast Fufeng Biotechnologies co., Ltd - 20,7% от общия обем. Това предприятие е част от компанията Fufeng Group.</w:t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214A7">
        <w:rPr>
          <w:rFonts w:ascii="Verdana" w:hAnsi="Verdana"/>
          <w:sz w:val="20"/>
          <w:szCs w:val="20"/>
          <w:lang w:val="bg-BG"/>
        </w:rPr>
        <w:t>На трето място за 2016 г. се нарежда още една китайска компания, производител на кристална гликоза Zhucheng Dongxiao Biotechnology Co., Ltd - 13,7% от общия обем на вноса.</w:t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C214A7">
        <w:rPr>
          <w:rFonts w:ascii="Verdana" w:hAnsi="Verdana"/>
          <w:i/>
          <w:sz w:val="20"/>
          <w:szCs w:val="20"/>
          <w:lang w:val="bg-BG"/>
        </w:rPr>
        <w:t>Хранителна промишленост</w:t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  <w:r w:rsidRPr="00C214A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795FEE5" wp14:editId="2060529D">
            <wp:extent cx="5518150" cy="2667000"/>
            <wp:effectExtent l="0" t="0" r="63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C214A7">
        <w:rPr>
          <w:rFonts w:ascii="Verdana" w:hAnsi="Verdana"/>
          <w:i/>
          <w:sz w:val="20"/>
          <w:szCs w:val="20"/>
          <w:lang w:val="bg-BG"/>
        </w:rPr>
        <w:t>Фармацевтика</w:t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C214A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A4E0616" wp14:editId="0E4C448D">
            <wp:extent cx="4762500" cy="2540000"/>
            <wp:effectExtent l="0" t="0" r="3810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214A7">
        <w:rPr>
          <w:rFonts w:ascii="Verdana" w:hAnsi="Verdana"/>
          <w:sz w:val="20"/>
          <w:szCs w:val="20"/>
          <w:lang w:val="bg-BG"/>
        </w:rPr>
        <w:t>Като цяло в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214A7">
        <w:rPr>
          <w:rFonts w:ascii="Verdana" w:hAnsi="Verdana"/>
          <w:sz w:val="20"/>
          <w:szCs w:val="20"/>
          <w:lang w:val="bg-BG"/>
        </w:rPr>
        <w:t>СССР, кристална гликоза е произвеждал Бесланския комбинат, който прекратява своята дейност. "Amilko" е един от първите заводи, ориентиран към възстановяване на производството на хранителна гликоза.</w:t>
      </w:r>
    </w:p>
    <w:p w:rsidR="00F334C4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right"/>
        <w:rPr>
          <w:rFonts w:ascii="Verdana" w:hAnsi="Verdana"/>
          <w:sz w:val="20"/>
          <w:szCs w:val="20"/>
          <w:lang w:val="bg-BG"/>
        </w:rPr>
      </w:pPr>
    </w:p>
    <w:p w:rsidR="00F334C4" w:rsidRPr="00C214A7" w:rsidRDefault="00F334C4" w:rsidP="00F334C4">
      <w:pPr>
        <w:pStyle w:val="NormalWeb"/>
        <w:spacing w:before="0" w:beforeAutospacing="0" w:after="0" w:afterAutospacing="0" w:line="276" w:lineRule="auto"/>
        <w:ind w:firstLine="708"/>
        <w:jc w:val="right"/>
        <w:rPr>
          <w:rFonts w:ascii="Verdana" w:hAnsi="Verdana"/>
          <w:sz w:val="20"/>
          <w:szCs w:val="20"/>
          <w:lang w:val="bg-BG"/>
        </w:rPr>
      </w:pPr>
      <w:hyperlink r:id="rId8" w:history="1">
        <w:r w:rsidRPr="00C214A7">
          <w:rPr>
            <w:rStyle w:val="Hyperlink"/>
            <w:rFonts w:ascii="Verdana" w:hAnsi="Verdana"/>
            <w:sz w:val="20"/>
            <w:szCs w:val="20"/>
            <w:lang w:val="bg-BG"/>
          </w:rPr>
          <w:t>http://www.id-marketing.ru/</w:t>
        </w:r>
      </w:hyperlink>
      <w:r w:rsidRPr="00C214A7">
        <w:rPr>
          <w:rFonts w:ascii="Verdana" w:hAnsi="Verdana"/>
          <w:sz w:val="20"/>
          <w:szCs w:val="20"/>
          <w:lang w:val="bg-BG"/>
        </w:rPr>
        <w:t xml:space="preserve"> </w:t>
      </w:r>
    </w:p>
    <w:p w:rsidR="00B62838" w:rsidRPr="00F334C4" w:rsidRDefault="00B62838">
      <w:pPr>
        <w:rPr>
          <w:lang w:val="bg-BG"/>
        </w:rPr>
      </w:pPr>
    </w:p>
    <w:sectPr w:rsidR="00B62838" w:rsidRPr="00F3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78"/>
    <w:rsid w:val="00B55F78"/>
    <w:rsid w:val="00B62838"/>
    <w:rsid w:val="00F3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4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4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-marketing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025462962962965"/>
          <c:y val="0.10615079365079365"/>
          <c:w val="0.47781797772321777"/>
          <c:h val="0.872143257472046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"/>
          <c:dPt>
            <c:idx val="0"/>
            <c:bubble3D val="0"/>
            <c:explosion val="6"/>
          </c:dPt>
          <c:dPt>
            <c:idx val="2"/>
            <c:bubble3D val="0"/>
            <c:explosion val="3"/>
          </c:dPt>
          <c:dLbls>
            <c:dLbl>
              <c:idx val="2"/>
              <c:layout>
                <c:manualLayout>
                  <c:x val="8.297881176232226E-2"/>
                  <c:y val="0.10142119979182426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Италия 9,3%</a:t>
                    </a:r>
                    <a:endParaRPr lang="ru-RU" sz="90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Китай</c:v>
                </c:pt>
                <c:pt idx="1">
                  <c:v>Франция</c:v>
                </c:pt>
                <c:pt idx="2">
                  <c:v>Италия</c:v>
                </c:pt>
                <c:pt idx="3">
                  <c:v>Германия</c:v>
                </c:pt>
                <c:pt idx="4">
                  <c:v>България</c:v>
                </c:pt>
                <c:pt idx="5">
                  <c:v>Испания</c:v>
                </c:pt>
                <c:pt idx="6">
                  <c:v>Белгия</c:v>
                </c:pt>
                <c:pt idx="7">
                  <c:v>Други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0.624</c:v>
                </c:pt>
                <c:pt idx="1">
                  <c:v>0.21</c:v>
                </c:pt>
                <c:pt idx="2">
                  <c:v>9.2999999999999999E-2</c:v>
                </c:pt>
                <c:pt idx="3">
                  <c:v>3.5999999999999997E-2</c:v>
                </c:pt>
                <c:pt idx="4">
                  <c:v>0.03</c:v>
                </c:pt>
                <c:pt idx="5">
                  <c:v>2E-3</c:v>
                </c:pt>
                <c:pt idx="6">
                  <c:v>2E-3</c:v>
                </c:pt>
                <c:pt idx="7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45142846787418"/>
          <c:y val="0.15783052118485189"/>
          <c:w val="0.81745621267997426"/>
          <c:h val="0.779614548181477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.12940315141850076"/>
                  <c:y val="-0.235285714285714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-2.7617951668584582E-2"/>
                  <c:y val="4.28035245594300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Amylum Bulgaria  EAD 2,5%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1.1832319449519506E-2"/>
                  <c:y val="-2.38095238095238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sz="800" b="1">
                    <a:latin typeface="Andalus" panose="02020603050405020304" pitchFamily="18" charset="-78"/>
                    <a:cs typeface="Andalus" panose="02020603050405020304" pitchFamily="18" charset="-78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Roguette Freres</c:v>
                </c:pt>
                <c:pt idx="1">
                  <c:v>Hulunbeier Northeast Fufeng Biotechnologies</c:v>
                </c:pt>
                <c:pt idx="2">
                  <c:v>Zhucheng Dongxiao Biotechnology co.</c:v>
                </c:pt>
                <c:pt idx="3">
                  <c:v>Cargill</c:v>
                </c:pt>
                <c:pt idx="4">
                  <c:v>Amylum Bulgaria ead</c:v>
                </c:pt>
                <c:pt idx="5">
                  <c:v>Foodchem International Corporation</c:v>
                </c:pt>
                <c:pt idx="6">
                  <c:v>Qinhuangdao Lihua Starch co. Ltd</c:v>
                </c:pt>
                <c:pt idx="7">
                  <c:v>Други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0.28199999999999997</c:v>
                </c:pt>
                <c:pt idx="1">
                  <c:v>0.22</c:v>
                </c:pt>
                <c:pt idx="2">
                  <c:v>0.15</c:v>
                </c:pt>
                <c:pt idx="3">
                  <c:v>8.5999999999999993E-2</c:v>
                </c:pt>
                <c:pt idx="4">
                  <c:v>2.5000000000000001E-2</c:v>
                </c:pt>
                <c:pt idx="5">
                  <c:v>2.4E-2</c:v>
                </c:pt>
                <c:pt idx="6">
                  <c:v>2.1000000000000001E-2</c:v>
                </c:pt>
                <c:pt idx="7">
                  <c:v>0.187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833385826771653E-2"/>
          <c:y val="0.10615079365079365"/>
          <c:w val="0.92007412073490813"/>
          <c:h val="0.882698425196850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7"/>
          <c:dPt>
            <c:idx val="2"/>
            <c:bubble3D val="0"/>
            <c:explosion val="26"/>
          </c:dPt>
          <c:dLbls>
            <c:dLbl>
              <c:idx val="2"/>
              <c:layout>
                <c:manualLayout>
                  <c:x val="-0.26221417322834645"/>
                  <c:y val="9.84149606299212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Roguette Freres</c:v>
                </c:pt>
                <c:pt idx="1">
                  <c:v>Weifang Shengtai Medicine co. Ltd</c:v>
                </c:pt>
                <c:pt idx="2">
                  <c:v>Cargill</c:v>
                </c:pt>
                <c:pt idx="3">
                  <c:v>Kirsch Pharma gmbh</c:v>
                </c:pt>
                <c:pt idx="4">
                  <c:v>Други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0.60099999999999998</c:v>
                </c:pt>
                <c:pt idx="1">
                  <c:v>0.378</c:v>
                </c:pt>
                <c:pt idx="2">
                  <c:v>1.2E-2</c:v>
                </c:pt>
                <c:pt idx="3">
                  <c:v>8.9999999999999993E-3</c:v>
                </c:pt>
                <c:pt idx="4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2017-09-25T08:53:00Z</dcterms:created>
  <dcterms:modified xsi:type="dcterms:W3CDTF">2017-09-25T08:54:00Z</dcterms:modified>
</cp:coreProperties>
</file>