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C35" w:rsidRDefault="00890C35" w:rsidP="00890C35">
      <w:pPr>
        <w:spacing w:after="0" w:line="240" w:lineRule="auto"/>
        <w:jc w:val="center"/>
        <w:rPr>
          <w:rStyle w:val="hps"/>
          <w:rFonts w:ascii="Verdana" w:hAnsi="Verdana"/>
          <w:b/>
          <w:sz w:val="20"/>
          <w:szCs w:val="20"/>
          <w:lang w:val="bg-BG"/>
        </w:rPr>
      </w:pPr>
      <w:r w:rsidRPr="00A61C9E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59264" behindDoc="0" locked="0" layoutInCell="1" allowOverlap="1" wp14:anchorId="07AB15F8" wp14:editId="49767C8C">
            <wp:simplePos x="0" y="0"/>
            <wp:positionH relativeFrom="column">
              <wp:posOffset>-1270</wp:posOffset>
            </wp:positionH>
            <wp:positionV relativeFrom="paragraph">
              <wp:posOffset>-3175</wp:posOffset>
            </wp:positionV>
            <wp:extent cx="2512060" cy="1619250"/>
            <wp:effectExtent l="0" t="0" r="2540" b="0"/>
            <wp:wrapSquare wrapText="bothSides"/>
            <wp:docPr id="1" name="irc_mi" descr="http://www.pladex.ru/wp-content/uploads/pladex_ru/2011/12/natur2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ladex.ru/wp-content/uploads/pladex_ru/2011/12/natur2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06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1C9E">
        <w:rPr>
          <w:rStyle w:val="hps"/>
          <w:rFonts w:ascii="Verdana" w:hAnsi="Verdana"/>
          <w:b/>
          <w:sz w:val="20"/>
          <w:szCs w:val="20"/>
          <w:lang w:val="bg-BG"/>
        </w:rPr>
        <w:t xml:space="preserve">ПРОУЧВАНЕ: КОЗМЕТИКА ЗА ВЪЗРАСТНИ – „ГОРЕЩ“ СЕГМЕНТ ДО 2030 </w:t>
      </w:r>
      <w:r>
        <w:rPr>
          <w:rStyle w:val="hps"/>
          <w:rFonts w:ascii="Verdana" w:hAnsi="Verdana"/>
          <w:b/>
          <w:sz w:val="20"/>
          <w:szCs w:val="20"/>
          <w:lang w:val="bg-BG"/>
        </w:rPr>
        <w:t>г</w:t>
      </w:r>
      <w:r w:rsidRPr="00A61C9E">
        <w:rPr>
          <w:rStyle w:val="hps"/>
          <w:rFonts w:ascii="Verdana" w:hAnsi="Verdana"/>
          <w:b/>
          <w:sz w:val="20"/>
          <w:szCs w:val="20"/>
          <w:lang w:val="bg-BG"/>
        </w:rPr>
        <w:t>.</w:t>
      </w:r>
    </w:p>
    <w:p w:rsidR="00890C35" w:rsidRDefault="00890C35" w:rsidP="00890C35">
      <w:pPr>
        <w:spacing w:after="0" w:line="240" w:lineRule="auto"/>
        <w:jc w:val="center"/>
        <w:rPr>
          <w:rStyle w:val="hps"/>
          <w:rFonts w:ascii="Verdana" w:hAnsi="Verdana"/>
          <w:b/>
          <w:sz w:val="20"/>
          <w:szCs w:val="20"/>
          <w:lang w:val="bg-BG"/>
        </w:rPr>
      </w:pPr>
    </w:p>
    <w:p w:rsidR="00890C35" w:rsidRPr="00A61C9E" w:rsidRDefault="00890C35" w:rsidP="00890C35">
      <w:pPr>
        <w:spacing w:after="0"/>
        <w:jc w:val="both"/>
        <w:rPr>
          <w:rStyle w:val="hps"/>
          <w:rFonts w:ascii="Verdana" w:hAnsi="Verdana"/>
          <w:sz w:val="20"/>
          <w:szCs w:val="20"/>
          <w:lang w:val="bg-BG"/>
        </w:rPr>
      </w:pPr>
      <w:r w:rsidRPr="00A61C9E">
        <w:rPr>
          <w:rStyle w:val="hps"/>
          <w:rFonts w:ascii="Verdana" w:hAnsi="Verdana"/>
          <w:sz w:val="20"/>
          <w:szCs w:val="20"/>
          <w:lang w:val="bg-BG"/>
        </w:rPr>
        <w:t>Пазара за специална козметика за възрастни потребители е потенциално много силно печелившо поле за реализацията на бизнес стратегии на водещите световни производители.</w:t>
      </w:r>
    </w:p>
    <w:p w:rsidR="00890C35" w:rsidRPr="00A61C9E" w:rsidRDefault="00890C35" w:rsidP="00890C35">
      <w:pPr>
        <w:spacing w:after="0"/>
        <w:jc w:val="both"/>
        <w:rPr>
          <w:rStyle w:val="hps"/>
          <w:rFonts w:ascii="Verdana" w:hAnsi="Verdana"/>
          <w:sz w:val="20"/>
          <w:szCs w:val="20"/>
          <w:lang w:val="bg-BG"/>
        </w:rPr>
      </w:pPr>
      <w:r w:rsidRPr="00A61C9E">
        <w:rPr>
          <w:rStyle w:val="hps"/>
          <w:rFonts w:ascii="Verdana" w:hAnsi="Verdana"/>
          <w:sz w:val="20"/>
          <w:szCs w:val="20"/>
          <w:lang w:val="bg-BG"/>
        </w:rPr>
        <w:t xml:space="preserve">Според неотдавнашния доклад от </w:t>
      </w:r>
      <w:proofErr w:type="spellStart"/>
      <w:r w:rsidRPr="00A61C9E">
        <w:rPr>
          <w:rStyle w:val="hps"/>
          <w:rFonts w:ascii="Verdana" w:hAnsi="Verdana"/>
          <w:sz w:val="20"/>
          <w:szCs w:val="20"/>
          <w:lang w:val="bg-BG"/>
        </w:rPr>
        <w:t>Euromonitor</w:t>
      </w:r>
      <w:proofErr w:type="spellEnd"/>
      <w:r w:rsidRPr="00A61C9E">
        <w:rPr>
          <w:rStyle w:val="hps"/>
          <w:rFonts w:ascii="Verdana" w:hAnsi="Verdana"/>
          <w:sz w:val="20"/>
          <w:szCs w:val="20"/>
          <w:lang w:val="bg-BG"/>
        </w:rPr>
        <w:t xml:space="preserve"> International броят на хората в света на възраст от 60 </w:t>
      </w:r>
      <w:r>
        <w:rPr>
          <w:rStyle w:val="hps"/>
          <w:rFonts w:ascii="Verdana" w:hAnsi="Verdana"/>
          <w:sz w:val="20"/>
          <w:szCs w:val="20"/>
          <w:lang w:val="bg-BG"/>
        </w:rPr>
        <w:t xml:space="preserve">г. </w:t>
      </w:r>
      <w:r w:rsidRPr="00A61C9E">
        <w:rPr>
          <w:rStyle w:val="hps"/>
          <w:rFonts w:ascii="Verdana" w:hAnsi="Verdana"/>
          <w:sz w:val="20"/>
          <w:szCs w:val="20"/>
          <w:lang w:val="bg-BG"/>
        </w:rPr>
        <w:t>и повече през 2014 г. възлиза на 912 милиона души, което е 12,6% от общия брой на населението на Земята.</w:t>
      </w:r>
    </w:p>
    <w:p w:rsidR="00890C35" w:rsidRPr="00A61C9E" w:rsidRDefault="00890C35" w:rsidP="00890C35">
      <w:pPr>
        <w:spacing w:after="0"/>
        <w:ind w:firstLine="708"/>
        <w:jc w:val="both"/>
        <w:rPr>
          <w:rStyle w:val="hps"/>
          <w:rFonts w:ascii="Verdana" w:hAnsi="Verdana"/>
          <w:sz w:val="20"/>
          <w:szCs w:val="20"/>
          <w:lang w:val="bg-BG"/>
        </w:rPr>
      </w:pPr>
      <w:r w:rsidRPr="00A61C9E">
        <w:rPr>
          <w:rStyle w:val="hps"/>
          <w:rFonts w:ascii="Verdana" w:hAnsi="Verdana"/>
          <w:sz w:val="20"/>
          <w:szCs w:val="20"/>
          <w:lang w:val="bg-BG"/>
        </w:rPr>
        <w:t>През 2030 г., този сегмент ще съставлява 18% или 1,5 милиарда души.</w:t>
      </w:r>
    </w:p>
    <w:p w:rsidR="00890C35" w:rsidRDefault="00890C35" w:rsidP="00890C35">
      <w:pPr>
        <w:spacing w:after="0"/>
        <w:ind w:firstLine="708"/>
        <w:jc w:val="both"/>
        <w:rPr>
          <w:rStyle w:val="hps"/>
          <w:rFonts w:ascii="Verdana" w:hAnsi="Verdana"/>
          <w:sz w:val="20"/>
          <w:szCs w:val="20"/>
          <w:lang w:val="bg-BG"/>
        </w:rPr>
      </w:pPr>
      <w:r w:rsidRPr="00A61C9E">
        <w:rPr>
          <w:rStyle w:val="hps"/>
          <w:rFonts w:ascii="Verdana" w:hAnsi="Verdana"/>
          <w:sz w:val="20"/>
          <w:szCs w:val="20"/>
          <w:lang w:val="bg-BG"/>
        </w:rPr>
        <w:t xml:space="preserve">Според проучването ефективността и природните характеристики на </w:t>
      </w:r>
      <w:proofErr w:type="spellStart"/>
      <w:r w:rsidRPr="00A61C9E">
        <w:rPr>
          <w:rStyle w:val="hps"/>
          <w:rFonts w:ascii="Verdana" w:hAnsi="Verdana"/>
          <w:sz w:val="20"/>
          <w:szCs w:val="20"/>
          <w:lang w:val="bg-BG"/>
        </w:rPr>
        <w:t>инградиентите</w:t>
      </w:r>
      <w:proofErr w:type="spellEnd"/>
      <w:r w:rsidRPr="00A61C9E">
        <w:rPr>
          <w:rStyle w:val="hps"/>
          <w:rFonts w:ascii="Verdana" w:hAnsi="Verdana"/>
          <w:sz w:val="20"/>
          <w:szCs w:val="20"/>
          <w:lang w:val="bg-BG"/>
        </w:rPr>
        <w:t xml:space="preserve"> са ключови изисквания за козметичните продукти за тази възрастова група.</w:t>
      </w:r>
    </w:p>
    <w:p w:rsidR="00890C35" w:rsidRPr="00A61C9E" w:rsidRDefault="00890C35" w:rsidP="00890C35">
      <w:pPr>
        <w:spacing w:after="0"/>
        <w:ind w:firstLine="708"/>
        <w:jc w:val="both"/>
        <w:rPr>
          <w:rStyle w:val="hps"/>
          <w:rFonts w:ascii="Verdana" w:hAnsi="Verdana"/>
          <w:sz w:val="20"/>
          <w:szCs w:val="20"/>
          <w:lang w:val="bg-BG"/>
        </w:rPr>
      </w:pPr>
      <w:r w:rsidRPr="00A61C9E">
        <w:rPr>
          <w:rStyle w:val="hps"/>
          <w:rFonts w:ascii="Verdana" w:hAnsi="Verdana"/>
          <w:sz w:val="20"/>
          <w:szCs w:val="20"/>
          <w:lang w:val="bg-BG"/>
        </w:rPr>
        <w:t xml:space="preserve">Най-голям брой </w:t>
      </w:r>
      <w:proofErr w:type="spellStart"/>
      <w:r w:rsidRPr="00A61C9E">
        <w:rPr>
          <w:rStyle w:val="hps"/>
          <w:rFonts w:ascii="Verdana" w:hAnsi="Verdana"/>
          <w:sz w:val="20"/>
          <w:szCs w:val="20"/>
          <w:lang w:val="bg-BG"/>
        </w:rPr>
        <w:t>дългожители</w:t>
      </w:r>
      <w:proofErr w:type="spellEnd"/>
      <w:r w:rsidRPr="00A61C9E">
        <w:rPr>
          <w:rStyle w:val="hps"/>
          <w:rFonts w:ascii="Verdana" w:hAnsi="Verdana"/>
          <w:sz w:val="20"/>
          <w:szCs w:val="20"/>
          <w:lang w:val="bg-BG"/>
        </w:rPr>
        <w:t xml:space="preserve"> живеят в Азиатско-тихоокеанския регион, където през 2014 г. са били регистрирани 508 милиона души. По-голямата част от тях са китайци. Затова Китай е най-перспективното направление за развитие на този сегмент козметични средства за тези, които са „над".</w:t>
      </w:r>
    </w:p>
    <w:p w:rsidR="00890C35" w:rsidRPr="00A61C9E" w:rsidRDefault="00890C35" w:rsidP="00890C35">
      <w:pPr>
        <w:spacing w:after="0"/>
        <w:ind w:firstLine="708"/>
        <w:jc w:val="both"/>
        <w:rPr>
          <w:rStyle w:val="hps"/>
          <w:rFonts w:ascii="Verdana" w:hAnsi="Verdana"/>
          <w:sz w:val="20"/>
          <w:szCs w:val="20"/>
          <w:lang w:val="bg-BG"/>
        </w:rPr>
      </w:pPr>
      <w:r w:rsidRPr="00A61C9E">
        <w:rPr>
          <w:rStyle w:val="hps"/>
          <w:rFonts w:ascii="Verdana" w:hAnsi="Verdana"/>
          <w:sz w:val="20"/>
          <w:szCs w:val="20"/>
          <w:lang w:val="bg-BG"/>
        </w:rPr>
        <w:t>Според прогнозите броят на тази категория граждани на Китай ще нарасне с 46% до 2030 г.</w:t>
      </w:r>
    </w:p>
    <w:p w:rsidR="00890C35" w:rsidRDefault="00890C35" w:rsidP="00890C35">
      <w:pPr>
        <w:spacing w:after="0"/>
        <w:ind w:firstLine="708"/>
        <w:jc w:val="both"/>
        <w:rPr>
          <w:rStyle w:val="hps"/>
          <w:rFonts w:ascii="Verdana" w:hAnsi="Verdana"/>
          <w:sz w:val="20"/>
          <w:szCs w:val="20"/>
          <w:lang w:val="bg-BG"/>
        </w:rPr>
      </w:pPr>
      <w:r w:rsidRPr="00A61C9E">
        <w:rPr>
          <w:rStyle w:val="hps"/>
          <w:rFonts w:ascii="Verdana" w:hAnsi="Verdana"/>
          <w:sz w:val="20"/>
          <w:szCs w:val="20"/>
          <w:lang w:val="bg-BG"/>
        </w:rPr>
        <w:t xml:space="preserve">Япония твърдо държи статута си на най-старата държава в света с 33% жители на възраст </w:t>
      </w:r>
      <w:r>
        <w:rPr>
          <w:rStyle w:val="hps"/>
          <w:rFonts w:ascii="Verdana" w:hAnsi="Verdana"/>
          <w:sz w:val="20"/>
          <w:szCs w:val="20"/>
          <w:lang w:val="bg-BG"/>
        </w:rPr>
        <w:t>над</w:t>
      </w:r>
      <w:r w:rsidRPr="00A61C9E">
        <w:rPr>
          <w:rStyle w:val="hps"/>
          <w:rFonts w:ascii="Verdana" w:hAnsi="Verdana"/>
          <w:sz w:val="20"/>
          <w:szCs w:val="20"/>
          <w:lang w:val="bg-BG"/>
        </w:rPr>
        <w:t xml:space="preserve"> 60 години.</w:t>
      </w:r>
    </w:p>
    <w:p w:rsidR="00890C35" w:rsidRPr="00A61C9E" w:rsidRDefault="00890C35" w:rsidP="00890C35">
      <w:pPr>
        <w:spacing w:after="0"/>
        <w:ind w:firstLine="708"/>
        <w:jc w:val="both"/>
        <w:rPr>
          <w:rStyle w:val="hps"/>
          <w:rFonts w:ascii="Verdana" w:hAnsi="Verdana"/>
          <w:sz w:val="20"/>
          <w:szCs w:val="20"/>
          <w:lang w:val="bg-BG"/>
        </w:rPr>
      </w:pPr>
      <w:r w:rsidRPr="00A61C9E">
        <w:rPr>
          <w:rStyle w:val="hps"/>
          <w:rFonts w:ascii="Verdana" w:hAnsi="Verdana"/>
          <w:sz w:val="20"/>
          <w:szCs w:val="20"/>
          <w:lang w:val="bg-BG"/>
        </w:rPr>
        <w:t>Западна Европа се приближава до „постиженията" на азиатците с доста стабилни темпове - Германия през 2014 г. изпревари по този показател Италия, а на фона на Стария свят отлично изглежда пазар</w:t>
      </w:r>
      <w:r>
        <w:rPr>
          <w:rStyle w:val="hps"/>
          <w:rFonts w:ascii="Verdana" w:hAnsi="Verdana"/>
          <w:sz w:val="20"/>
          <w:szCs w:val="20"/>
          <w:lang w:val="bg-BG"/>
        </w:rPr>
        <w:t>ът</w:t>
      </w:r>
      <w:r w:rsidRPr="00A61C9E">
        <w:rPr>
          <w:rStyle w:val="hps"/>
          <w:rFonts w:ascii="Verdana" w:hAnsi="Verdana"/>
          <w:sz w:val="20"/>
          <w:szCs w:val="20"/>
          <w:lang w:val="bg-BG"/>
        </w:rPr>
        <w:t xml:space="preserve"> на САЩ, където „младостта"</w:t>
      </w:r>
      <w:r>
        <w:rPr>
          <w:rStyle w:val="hps"/>
          <w:rFonts w:ascii="Verdana" w:hAnsi="Verdana"/>
          <w:sz w:val="20"/>
          <w:szCs w:val="20"/>
          <w:lang w:val="bg-BG"/>
        </w:rPr>
        <w:t xml:space="preserve"> </w:t>
      </w:r>
      <w:r w:rsidRPr="00A61C9E">
        <w:rPr>
          <w:rStyle w:val="hps"/>
          <w:rFonts w:ascii="Verdana" w:hAnsi="Verdana"/>
          <w:sz w:val="20"/>
          <w:szCs w:val="20"/>
          <w:lang w:val="bg-BG"/>
        </w:rPr>
        <w:t>се поддържа от високото ниво на имиграция.</w:t>
      </w:r>
    </w:p>
    <w:p w:rsidR="00890C35" w:rsidRPr="00A61C9E" w:rsidRDefault="00890C35" w:rsidP="00890C35">
      <w:pPr>
        <w:spacing w:after="0"/>
        <w:ind w:firstLine="708"/>
        <w:jc w:val="both"/>
        <w:rPr>
          <w:rStyle w:val="hps"/>
          <w:rFonts w:ascii="Verdana" w:hAnsi="Verdana"/>
          <w:sz w:val="20"/>
          <w:szCs w:val="20"/>
          <w:lang w:val="bg-BG"/>
        </w:rPr>
      </w:pPr>
      <w:r w:rsidRPr="00A61C9E">
        <w:rPr>
          <w:rStyle w:val="hps"/>
          <w:rFonts w:ascii="Verdana" w:hAnsi="Verdana"/>
          <w:sz w:val="20"/>
          <w:szCs w:val="20"/>
          <w:lang w:val="bg-BG"/>
        </w:rPr>
        <w:t xml:space="preserve">В същото време, „застаряването" на пазара не означава изчезването му от гледна точка на динамиката на продажбите, тъй като в развитите страни, хората в пенсионна възраст обикновено са обезпечени  лица с високо ниво на свободно разполагаеми доходи - сред хората над 60 </w:t>
      </w:r>
      <w:r>
        <w:rPr>
          <w:rStyle w:val="hps"/>
          <w:rFonts w:ascii="Verdana" w:hAnsi="Verdana"/>
          <w:sz w:val="20"/>
          <w:szCs w:val="20"/>
          <w:lang w:val="bg-BG"/>
        </w:rPr>
        <w:t xml:space="preserve">г. </w:t>
      </w:r>
      <w:r w:rsidRPr="00A61C9E">
        <w:rPr>
          <w:rStyle w:val="hps"/>
          <w:rFonts w:ascii="Verdana" w:hAnsi="Verdana"/>
          <w:sz w:val="20"/>
          <w:szCs w:val="20"/>
          <w:lang w:val="bg-BG"/>
        </w:rPr>
        <w:t>такива са болшинство.</w:t>
      </w:r>
    </w:p>
    <w:p w:rsidR="00890C35" w:rsidRDefault="00890C35" w:rsidP="00890C35">
      <w:pPr>
        <w:spacing w:after="0"/>
        <w:ind w:firstLine="708"/>
        <w:jc w:val="both"/>
        <w:rPr>
          <w:rStyle w:val="hps"/>
          <w:rFonts w:ascii="Verdana" w:hAnsi="Verdana"/>
          <w:sz w:val="20"/>
          <w:szCs w:val="20"/>
          <w:lang w:val="bg-BG"/>
        </w:rPr>
      </w:pPr>
      <w:r w:rsidRPr="00A61C9E">
        <w:rPr>
          <w:rStyle w:val="hps"/>
          <w:rFonts w:ascii="Verdana" w:hAnsi="Verdana"/>
          <w:sz w:val="20"/>
          <w:szCs w:val="20"/>
          <w:lang w:val="bg-BG"/>
        </w:rPr>
        <w:t>Повечето от продуктите за този възрастов сегмент са в направление за грижа за кожата, косата, защита от слънчевото въздействие, както и козметични продукти с акцент на въздействието върху признаците на стареене.</w:t>
      </w:r>
    </w:p>
    <w:p w:rsidR="00890C35" w:rsidRPr="00A61C9E" w:rsidRDefault="00890C35" w:rsidP="00890C35">
      <w:pPr>
        <w:spacing w:after="0"/>
        <w:ind w:firstLine="708"/>
        <w:jc w:val="both"/>
        <w:rPr>
          <w:rStyle w:val="hps"/>
          <w:rFonts w:ascii="Verdana" w:hAnsi="Verdana"/>
          <w:sz w:val="20"/>
          <w:szCs w:val="20"/>
          <w:lang w:val="bg-BG"/>
        </w:rPr>
      </w:pPr>
      <w:r w:rsidRPr="00A61C9E">
        <w:rPr>
          <w:rStyle w:val="hps"/>
          <w:rFonts w:ascii="Verdana" w:hAnsi="Verdana"/>
          <w:sz w:val="20"/>
          <w:szCs w:val="20"/>
          <w:lang w:val="bg-BG"/>
        </w:rPr>
        <w:t xml:space="preserve">По данни на </w:t>
      </w:r>
      <w:proofErr w:type="spellStart"/>
      <w:r w:rsidRPr="00A61C9E">
        <w:rPr>
          <w:rStyle w:val="hps"/>
          <w:rFonts w:ascii="Verdana" w:hAnsi="Verdana"/>
          <w:sz w:val="20"/>
          <w:szCs w:val="20"/>
          <w:lang w:val="bg-BG"/>
        </w:rPr>
        <w:t>Euromonitor</w:t>
      </w:r>
      <w:proofErr w:type="spellEnd"/>
      <w:r w:rsidRPr="00A61C9E">
        <w:rPr>
          <w:rStyle w:val="hps"/>
          <w:rFonts w:ascii="Verdana" w:hAnsi="Verdana"/>
          <w:sz w:val="20"/>
          <w:szCs w:val="20"/>
          <w:lang w:val="bg-BG"/>
        </w:rPr>
        <w:t xml:space="preserve"> голяма част потребителите от възрастова група „над 60" използват крем за лице и овлажняващи кремове за тяло без доказани </w:t>
      </w:r>
      <w:proofErr w:type="spellStart"/>
      <w:r w:rsidRPr="00A61C9E">
        <w:rPr>
          <w:rStyle w:val="hps"/>
          <w:rFonts w:ascii="Verdana" w:hAnsi="Verdana"/>
          <w:sz w:val="20"/>
          <w:szCs w:val="20"/>
          <w:lang w:val="bg-BG"/>
        </w:rPr>
        <w:t>анти-стареене</w:t>
      </w:r>
      <w:proofErr w:type="spellEnd"/>
      <w:r w:rsidRPr="00A61C9E">
        <w:rPr>
          <w:rStyle w:val="hps"/>
          <w:rFonts w:ascii="Verdana" w:hAnsi="Verdana"/>
          <w:sz w:val="20"/>
          <w:szCs w:val="20"/>
          <w:lang w:val="bg-BG"/>
        </w:rPr>
        <w:t xml:space="preserve"> свойства. </w:t>
      </w:r>
    </w:p>
    <w:p w:rsidR="00890C35" w:rsidRPr="00A61C9E" w:rsidRDefault="00890C35" w:rsidP="00890C35">
      <w:pPr>
        <w:spacing w:after="0"/>
        <w:ind w:firstLine="708"/>
        <w:jc w:val="both"/>
        <w:rPr>
          <w:rStyle w:val="hps"/>
          <w:rFonts w:ascii="Verdana" w:hAnsi="Verdana"/>
          <w:sz w:val="20"/>
          <w:szCs w:val="20"/>
          <w:lang w:val="bg-BG"/>
        </w:rPr>
      </w:pPr>
      <w:r w:rsidRPr="00A61C9E">
        <w:rPr>
          <w:rStyle w:val="hps"/>
          <w:rFonts w:ascii="Verdana" w:hAnsi="Verdana"/>
          <w:sz w:val="20"/>
          <w:szCs w:val="20"/>
          <w:lang w:val="bg-BG"/>
        </w:rPr>
        <w:t xml:space="preserve">Само около 35% от анкетираните са заявили, че са използвали средства с </w:t>
      </w:r>
      <w:proofErr w:type="spellStart"/>
      <w:r w:rsidRPr="00A61C9E">
        <w:rPr>
          <w:rStyle w:val="hps"/>
          <w:rFonts w:ascii="Verdana" w:hAnsi="Verdana"/>
          <w:sz w:val="20"/>
          <w:szCs w:val="20"/>
          <w:lang w:val="bg-BG"/>
        </w:rPr>
        <w:t>анти-стареене</w:t>
      </w:r>
      <w:proofErr w:type="spellEnd"/>
      <w:r w:rsidRPr="00A61C9E">
        <w:rPr>
          <w:rStyle w:val="hps"/>
          <w:rFonts w:ascii="Verdana" w:hAnsi="Verdana"/>
          <w:sz w:val="20"/>
          <w:szCs w:val="20"/>
          <w:lang w:val="bg-BG"/>
        </w:rPr>
        <w:t xml:space="preserve"> свойства през изминалите три месеца преди изследването.</w:t>
      </w:r>
    </w:p>
    <w:p w:rsidR="00890C35" w:rsidRPr="00A61C9E" w:rsidRDefault="00890C35" w:rsidP="00890C35">
      <w:pPr>
        <w:spacing w:after="0"/>
        <w:ind w:firstLine="708"/>
        <w:jc w:val="both"/>
        <w:rPr>
          <w:rStyle w:val="hps"/>
          <w:rFonts w:ascii="Verdana" w:hAnsi="Verdana"/>
          <w:sz w:val="20"/>
          <w:szCs w:val="20"/>
          <w:lang w:val="bg-BG"/>
        </w:rPr>
      </w:pPr>
      <w:r w:rsidRPr="00A61C9E">
        <w:rPr>
          <w:rStyle w:val="hps"/>
          <w:rFonts w:ascii="Verdana" w:hAnsi="Verdana"/>
          <w:sz w:val="20"/>
          <w:szCs w:val="20"/>
          <w:lang w:val="bg-BG"/>
        </w:rPr>
        <w:t>Следователно, пазар</w:t>
      </w:r>
      <w:r>
        <w:rPr>
          <w:rStyle w:val="hps"/>
          <w:rFonts w:ascii="Verdana" w:hAnsi="Verdana"/>
          <w:sz w:val="20"/>
          <w:szCs w:val="20"/>
          <w:lang w:val="bg-BG"/>
        </w:rPr>
        <w:t>ът</w:t>
      </w:r>
      <w:r w:rsidRPr="00A61C9E">
        <w:rPr>
          <w:rStyle w:val="hps"/>
          <w:rFonts w:ascii="Verdana" w:hAnsi="Verdana"/>
          <w:sz w:val="20"/>
          <w:szCs w:val="20"/>
          <w:lang w:val="bg-BG"/>
        </w:rPr>
        <w:t xml:space="preserve"> все още има висок процент възможности по отношение на създаването на специални средства за възрастни хора, които, ако се появят на пазара, ще </w:t>
      </w:r>
      <w:r>
        <w:rPr>
          <w:rStyle w:val="hps"/>
          <w:rFonts w:ascii="Verdana" w:hAnsi="Verdana"/>
          <w:sz w:val="20"/>
          <w:szCs w:val="20"/>
          <w:lang w:val="bg-BG"/>
        </w:rPr>
        <w:t xml:space="preserve">се радват на </w:t>
      </w:r>
      <w:r w:rsidRPr="00A61C9E">
        <w:rPr>
          <w:rStyle w:val="hps"/>
          <w:rFonts w:ascii="Verdana" w:hAnsi="Verdana"/>
          <w:sz w:val="20"/>
          <w:szCs w:val="20"/>
          <w:lang w:val="bg-BG"/>
        </w:rPr>
        <w:t>голямо търсене.</w:t>
      </w:r>
    </w:p>
    <w:p w:rsidR="00890C35" w:rsidRPr="00A61C9E" w:rsidRDefault="00890C35" w:rsidP="00890C35">
      <w:pPr>
        <w:spacing w:after="0"/>
        <w:ind w:firstLine="708"/>
        <w:jc w:val="both"/>
        <w:rPr>
          <w:rStyle w:val="hps"/>
          <w:rFonts w:ascii="Verdana" w:hAnsi="Verdana"/>
          <w:sz w:val="20"/>
          <w:szCs w:val="20"/>
          <w:lang w:val="bg-BG"/>
        </w:rPr>
      </w:pPr>
      <w:r w:rsidRPr="00A61C9E">
        <w:rPr>
          <w:rStyle w:val="hps"/>
          <w:rFonts w:ascii="Verdana" w:hAnsi="Verdana"/>
          <w:sz w:val="20"/>
          <w:szCs w:val="20"/>
          <w:lang w:val="bg-BG"/>
        </w:rPr>
        <w:t xml:space="preserve">Също така, само една трета </w:t>
      </w:r>
      <w:r>
        <w:rPr>
          <w:rStyle w:val="hps"/>
          <w:rFonts w:ascii="Verdana" w:hAnsi="Verdana"/>
          <w:sz w:val="20"/>
          <w:szCs w:val="20"/>
          <w:lang w:val="bg-BG"/>
        </w:rPr>
        <w:t xml:space="preserve">от </w:t>
      </w:r>
      <w:r w:rsidRPr="00A61C9E">
        <w:rPr>
          <w:rStyle w:val="hps"/>
          <w:rFonts w:ascii="Verdana" w:hAnsi="Verdana"/>
          <w:sz w:val="20"/>
          <w:szCs w:val="20"/>
          <w:lang w:val="bg-BG"/>
        </w:rPr>
        <w:t>анкетирани</w:t>
      </w:r>
      <w:r>
        <w:rPr>
          <w:rStyle w:val="hps"/>
          <w:rFonts w:ascii="Verdana" w:hAnsi="Verdana"/>
          <w:sz w:val="20"/>
          <w:szCs w:val="20"/>
          <w:lang w:val="bg-BG"/>
        </w:rPr>
        <w:t>те</w:t>
      </w:r>
      <w:r w:rsidRPr="00A61C9E">
        <w:rPr>
          <w:rStyle w:val="hps"/>
          <w:rFonts w:ascii="Verdana" w:hAnsi="Verdana"/>
          <w:sz w:val="20"/>
          <w:szCs w:val="20"/>
          <w:lang w:val="bg-BG"/>
        </w:rPr>
        <w:t xml:space="preserve"> от възрастовата група са включили в своите ежедневни процедури ползване</w:t>
      </w:r>
      <w:r>
        <w:rPr>
          <w:rStyle w:val="hps"/>
          <w:rFonts w:ascii="Verdana" w:hAnsi="Verdana"/>
          <w:sz w:val="20"/>
          <w:szCs w:val="20"/>
          <w:lang w:val="bg-BG"/>
        </w:rPr>
        <w:t>то</w:t>
      </w:r>
      <w:r w:rsidRPr="00A61C9E">
        <w:rPr>
          <w:rStyle w:val="hps"/>
          <w:rFonts w:ascii="Verdana" w:hAnsi="Verdana"/>
          <w:sz w:val="20"/>
          <w:szCs w:val="20"/>
          <w:lang w:val="bg-BG"/>
        </w:rPr>
        <w:t xml:space="preserve"> на средства с </w:t>
      </w:r>
      <w:proofErr w:type="spellStart"/>
      <w:r w:rsidRPr="00A61C9E">
        <w:rPr>
          <w:rStyle w:val="hps"/>
          <w:rFonts w:ascii="Verdana" w:hAnsi="Verdana"/>
          <w:sz w:val="20"/>
          <w:szCs w:val="20"/>
          <w:lang w:val="bg-BG"/>
        </w:rPr>
        <w:t>анти-стареене</w:t>
      </w:r>
      <w:proofErr w:type="spellEnd"/>
      <w:r w:rsidRPr="00A61C9E">
        <w:rPr>
          <w:rStyle w:val="hps"/>
          <w:rFonts w:ascii="Verdana" w:hAnsi="Verdana"/>
          <w:sz w:val="20"/>
          <w:szCs w:val="20"/>
          <w:lang w:val="bg-BG"/>
        </w:rPr>
        <w:t xml:space="preserve"> свойства върху кожата.</w:t>
      </w:r>
    </w:p>
    <w:p w:rsidR="00890C35" w:rsidRDefault="00890C35" w:rsidP="00890C35">
      <w:pPr>
        <w:spacing w:after="0"/>
        <w:ind w:firstLine="708"/>
        <w:jc w:val="right"/>
        <w:rPr>
          <w:rStyle w:val="hps"/>
          <w:rFonts w:ascii="Verdana" w:hAnsi="Verdana"/>
          <w:sz w:val="20"/>
          <w:szCs w:val="20"/>
          <w:lang w:val="bg-BG"/>
        </w:rPr>
      </w:pPr>
      <w:r>
        <w:rPr>
          <w:rStyle w:val="hps"/>
          <w:rFonts w:ascii="Verdana" w:hAnsi="Verdana"/>
          <w:sz w:val="20"/>
          <w:szCs w:val="20"/>
          <w:lang w:val="bg-BG"/>
        </w:rPr>
        <w:t xml:space="preserve"> </w:t>
      </w:r>
    </w:p>
    <w:p w:rsidR="00D0484E" w:rsidRPr="00890C35" w:rsidRDefault="00890C35" w:rsidP="00890C35">
      <w:pPr>
        <w:spacing w:after="0"/>
        <w:ind w:firstLine="708"/>
        <w:jc w:val="right"/>
        <w:rPr>
          <w:rFonts w:ascii="Verdana" w:hAnsi="Verdana"/>
          <w:sz w:val="20"/>
          <w:szCs w:val="20"/>
          <w:lang w:val="en-US"/>
        </w:rPr>
      </w:pPr>
      <w:hyperlink r:id="rId7" w:history="1">
        <w:r w:rsidRPr="00894CEF">
          <w:rPr>
            <w:rStyle w:val="a3"/>
            <w:rFonts w:ascii="Verdana" w:hAnsi="Verdana"/>
            <w:sz w:val="20"/>
            <w:szCs w:val="20"/>
            <w:lang w:val="bg-BG"/>
          </w:rPr>
          <w:t>http://cosmetology-info.ru</w:t>
        </w:r>
      </w:hyperlink>
      <w:r>
        <w:rPr>
          <w:rStyle w:val="hps"/>
          <w:rFonts w:ascii="Verdana" w:hAnsi="Verdana"/>
          <w:sz w:val="20"/>
          <w:szCs w:val="20"/>
          <w:lang w:val="bg-BG"/>
        </w:rPr>
        <w:t xml:space="preserve"> </w:t>
      </w:r>
      <w:bookmarkStart w:id="0" w:name="_GoBack"/>
      <w:bookmarkEnd w:id="0"/>
    </w:p>
    <w:sectPr w:rsidR="00D0484E" w:rsidRPr="00890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252"/>
    <w:rsid w:val="00875252"/>
    <w:rsid w:val="00890C35"/>
    <w:rsid w:val="00D0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0C35"/>
    <w:rPr>
      <w:color w:val="0000FF" w:themeColor="hyperlink"/>
      <w:u w:val="single"/>
    </w:rPr>
  </w:style>
  <w:style w:type="character" w:customStyle="1" w:styleId="hps">
    <w:name w:val="hps"/>
    <w:basedOn w:val="a0"/>
    <w:rsid w:val="00890C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0C35"/>
    <w:rPr>
      <w:color w:val="0000FF" w:themeColor="hyperlink"/>
      <w:u w:val="single"/>
    </w:rPr>
  </w:style>
  <w:style w:type="character" w:customStyle="1" w:styleId="hps">
    <w:name w:val="hps"/>
    <w:basedOn w:val="a0"/>
    <w:rsid w:val="00890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smetology-inf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ru/url?sa=i&amp;rct=j&amp;q=&amp;esrc=s&amp;source=images&amp;cd=&amp;cad=rja&amp;uact=8&amp;ved=0CAcQjRw&amp;url=http://www.pladex.ru/reyting-kosmetiki-po-naturalnosti.html&amp;ei=4UNsVc3nJIH4ygOQ7YDgAg&amp;bvm=bv.94455598,d.bGQ&amp;psig=AFQjCNFYRFmz291yqAyzmw2PDqDoVfRY2A&amp;ust=143324499861779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2015-06-15T06:50:00Z</dcterms:created>
  <dcterms:modified xsi:type="dcterms:W3CDTF">2015-06-15T06:50:00Z</dcterms:modified>
</cp:coreProperties>
</file>