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57" w:rsidRPr="00BC23CA" w:rsidRDefault="00FA4657" w:rsidP="00FA4657">
      <w:pPr>
        <w:pStyle w:val="a3"/>
        <w:spacing w:line="276" w:lineRule="auto"/>
        <w:jc w:val="both"/>
        <w:rPr>
          <w:rFonts w:ascii="Verdana" w:hAnsi="Verdana"/>
          <w:sz w:val="20"/>
          <w:szCs w:val="20"/>
          <w:lang w:val="bg-BG"/>
        </w:rPr>
      </w:pPr>
    </w:p>
    <w:p w:rsidR="00FA4657" w:rsidRPr="00BC23CA" w:rsidRDefault="00FA4657" w:rsidP="00FA4657">
      <w:pPr>
        <w:pStyle w:val="a3"/>
        <w:spacing w:line="276" w:lineRule="auto"/>
        <w:jc w:val="center"/>
        <w:rPr>
          <w:rFonts w:ascii="Verdana" w:eastAsia="Calibri" w:hAnsi="Verdana" w:cs="Times New Roman"/>
          <w:b/>
          <w:color w:val="FF0000"/>
          <w:sz w:val="20"/>
          <w:szCs w:val="20"/>
          <w:lang w:val="bg-BG"/>
        </w:rPr>
      </w:pPr>
      <w:r w:rsidRPr="00BC23CA">
        <w:rPr>
          <w:rFonts w:ascii="Verdana" w:eastAsia="Times New Roman" w:hAnsi="Verdana" w:cs="Times New Roman"/>
          <w:b/>
          <w:noProof/>
          <w:color w:val="0000FF"/>
          <w:sz w:val="20"/>
          <w:szCs w:val="20"/>
          <w:lang w:eastAsia="ru-RU"/>
        </w:rPr>
        <w:drawing>
          <wp:anchor distT="0" distB="0" distL="114300" distR="114300" simplePos="0" relativeHeight="251659264" behindDoc="0" locked="0" layoutInCell="1" allowOverlap="1" wp14:anchorId="22F8622D" wp14:editId="2DDB21B4">
            <wp:simplePos x="0" y="0"/>
            <wp:positionH relativeFrom="column">
              <wp:posOffset>-1270</wp:posOffset>
            </wp:positionH>
            <wp:positionV relativeFrom="paragraph">
              <wp:posOffset>2540</wp:posOffset>
            </wp:positionV>
            <wp:extent cx="2145030" cy="1529715"/>
            <wp:effectExtent l="0" t="0" r="7620" b="0"/>
            <wp:wrapSquare wrapText="bothSides"/>
            <wp:docPr id="673" name="Рисунок 673" descr="http://bilheal.bilkent.edu.tr/aykonu/ay2012/anxiete/1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lheal.bilkent.edu.tr/aykonu/ay2012/anxiete/12.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503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3CA">
        <w:rPr>
          <w:rFonts w:ascii="Verdana" w:eastAsia="Calibri" w:hAnsi="Verdana" w:cs="Times New Roman"/>
          <w:b/>
          <w:sz w:val="20"/>
          <w:szCs w:val="20"/>
          <w:lang w:val="bg-BG"/>
        </w:rPr>
        <w:t>ЛЕКО ЗАТОПЛЯНЕ СЕ НАБЛЮДАВА В ПЕСИМИСТИЧНОТО НАСТРОЕНИЕ НА РУСКИТЕ ПОТРЕБИТЕЛИ</w:t>
      </w:r>
    </w:p>
    <w:p w:rsidR="00FA4657" w:rsidRPr="00BC23CA" w:rsidRDefault="00FA4657" w:rsidP="00FA4657">
      <w:pPr>
        <w:pStyle w:val="a3"/>
        <w:spacing w:line="276" w:lineRule="auto"/>
        <w:jc w:val="both"/>
        <w:rPr>
          <w:rFonts w:ascii="Verdana" w:eastAsia="Calibri" w:hAnsi="Verdana" w:cs="Times New Roman"/>
          <w:sz w:val="20"/>
          <w:szCs w:val="20"/>
          <w:lang w:val="bg-BG"/>
        </w:rPr>
      </w:pP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Според соци</w:t>
      </w:r>
      <w:bookmarkStart w:id="0" w:name="_GoBack"/>
      <w:bookmarkEnd w:id="0"/>
      <w:r w:rsidRPr="00BC23CA">
        <w:rPr>
          <w:rFonts w:ascii="Verdana" w:eastAsia="Calibri" w:hAnsi="Verdana" w:cs="Times New Roman"/>
          <w:sz w:val="20"/>
          <w:szCs w:val="20"/>
          <w:lang w:val="bg-BG"/>
        </w:rPr>
        <w:t>ологическата маркетингова компания Nielsen и направените от нея проучвания, индексът на потребителското доверие в Русия е нараснал от минималното за последните 11 години ниво от 63 пункта до 66 през второто тримесечие на 2016 г. Когато стойностите на Индекса са над 100 точки, това позволява, потребителите на тази страна да бъдат отнесени към групата на оптимистично настроените, а когато стойностите са под 100 точки, това свидетелства за преобладаване на песимистични настроения. Оптимизм</w:t>
      </w:r>
      <w:r>
        <w:rPr>
          <w:rFonts w:ascii="Verdana" w:eastAsia="Calibri" w:hAnsi="Verdana" w:cs="Times New Roman"/>
          <w:sz w:val="20"/>
          <w:szCs w:val="20"/>
          <w:lang w:val="bg-BG"/>
        </w:rPr>
        <w:t>а</w:t>
      </w:r>
      <w:r w:rsidRPr="00BC23CA">
        <w:rPr>
          <w:rFonts w:ascii="Verdana" w:eastAsia="Calibri" w:hAnsi="Verdana" w:cs="Times New Roman"/>
          <w:sz w:val="20"/>
          <w:szCs w:val="20"/>
          <w:lang w:val="bg-BG"/>
        </w:rPr>
        <w:t xml:space="preserve"> или песимизм</w:t>
      </w:r>
      <w:r>
        <w:rPr>
          <w:rFonts w:ascii="Verdana" w:eastAsia="Calibri" w:hAnsi="Verdana" w:cs="Times New Roman"/>
          <w:sz w:val="20"/>
          <w:szCs w:val="20"/>
          <w:lang w:val="bg-BG"/>
        </w:rPr>
        <w:t>а</w:t>
      </w:r>
      <w:r w:rsidRPr="00BC23CA">
        <w:rPr>
          <w:rFonts w:ascii="Verdana" w:eastAsia="Calibri" w:hAnsi="Verdana" w:cs="Times New Roman"/>
          <w:sz w:val="20"/>
          <w:szCs w:val="20"/>
          <w:lang w:val="bg-BG"/>
        </w:rPr>
        <w:t xml:space="preserve"> на потребителите директно се отразява на желанието им да харчат пари.</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 xml:space="preserve">Предсказуемостта на </w:t>
      </w:r>
      <w:r w:rsidRPr="00DC2CCE">
        <w:rPr>
          <w:rFonts w:ascii="Verdana" w:eastAsia="Calibri" w:hAnsi="Verdana" w:cs="Times New Roman"/>
          <w:sz w:val="20"/>
          <w:szCs w:val="20"/>
          <w:lang w:val="bg-BG"/>
        </w:rPr>
        <w:t xml:space="preserve">поведението на </w:t>
      </w:r>
      <w:r w:rsidRPr="00BC23CA">
        <w:rPr>
          <w:rFonts w:ascii="Verdana" w:eastAsia="Calibri" w:hAnsi="Verdana" w:cs="Times New Roman"/>
          <w:sz w:val="20"/>
          <w:szCs w:val="20"/>
          <w:lang w:val="bg-BG"/>
        </w:rPr>
        <w:t>околната среда - един от основните двигатели за формиране на потребителските настроения: колкото е по-голяма несигурността в бъдещето, толкова са по-предпазливи потребителите. Въпреки липсата на ръст на реалните доходи, отсъствието на сериозни неблагоприятни икономически и социално-политически събития през второто тримесечие на 2016 г., е допринесло за слабото подобрение на настроението на потребителите.</w:t>
      </w:r>
    </w:p>
    <w:p w:rsidR="00FA4657" w:rsidRPr="00DC2CCE" w:rsidRDefault="00FA4657" w:rsidP="00FA4657">
      <w:pPr>
        <w:pStyle w:val="a3"/>
        <w:spacing w:line="276" w:lineRule="auto"/>
        <w:ind w:firstLine="708"/>
        <w:jc w:val="both"/>
        <w:rPr>
          <w:rFonts w:ascii="Verdana" w:eastAsia="Calibri" w:hAnsi="Verdana" w:cs="Times New Roman"/>
          <w:b/>
          <w:sz w:val="20"/>
          <w:szCs w:val="20"/>
          <w:lang w:val="bg-BG"/>
        </w:rPr>
      </w:pPr>
      <w:r w:rsidRPr="00DC2CCE">
        <w:rPr>
          <w:rFonts w:ascii="Verdana" w:eastAsia="Calibri" w:hAnsi="Verdana" w:cs="Times New Roman"/>
          <w:b/>
          <w:sz w:val="20"/>
          <w:szCs w:val="20"/>
          <w:lang w:val="bg-BG"/>
        </w:rPr>
        <w:t>Компоненти на Индекса.</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Индексът се състои от три индикатора: възприятията от потребителите за перспективите на пазара на труда, оценката на собственото финансово положение и степента на готовност да харчат пари.</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През второто тримесечие на 2016 г., 16% от руските потребители са очаквали „отлични" или „добри" перспективи на пазара на труда през следващите 12 месеца – значението е малко по-високо, отколкото през първото тримесечие (14%), но все още е ниско - през 2015 г. броят на предсказващите благоприятни условия за трудова заетост са били близо 25%, през 2014 г. – близо 35%.</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В оценката си на собственото финансово състояние са оптимистични 30% - те очакват „отлични" или „добри" перспективи през следващата година, 66% са по-консервативни: 52% предвиждат „не много добро" лично финансово положение, 14% смятат, че перспективите са „лоши". През 2015 г. броят на хората, оценяващи благоприятни перспективите си по отношение на личното финансово състояние, е бил около 35%, през 2014 г. - около 40%.</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Желанието да харчат пари все още е ниско: като „отлично" или „добро" време за придобиване на неща, които са нужни или искат да си купят, са оценили около 18%, „не е много добро"  - 50 %, „лошо" - 29%. През 2015 г. средният брой хора, готови да харчат пари са били около 25%, през 2014 г. - около 30%.</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85% от руските потребители (88% в I тримесечие 2016 г.) са се съгласили, че икономиката е в рецесия, а 52% от тях смятат, че страната няма да може да излезе от икономическата криза през следващата година.</w:t>
      </w:r>
    </w:p>
    <w:p w:rsidR="00FA4657" w:rsidRDefault="00FA4657" w:rsidP="00FA4657">
      <w:pPr>
        <w:pStyle w:val="a3"/>
        <w:spacing w:line="276" w:lineRule="auto"/>
        <w:jc w:val="both"/>
        <w:rPr>
          <w:rFonts w:ascii="Verdana" w:eastAsia="Calibri" w:hAnsi="Verdana" w:cs="Times New Roman"/>
          <w:sz w:val="20"/>
          <w:szCs w:val="20"/>
          <w:lang w:val="bg-BG"/>
        </w:rPr>
      </w:pPr>
    </w:p>
    <w:p w:rsidR="00FA4657" w:rsidRPr="00BC23CA" w:rsidRDefault="00FA4657" w:rsidP="00FA4657">
      <w:pPr>
        <w:pStyle w:val="a3"/>
        <w:spacing w:line="276" w:lineRule="auto"/>
        <w:ind w:firstLine="708"/>
        <w:jc w:val="both"/>
        <w:rPr>
          <w:rFonts w:ascii="Verdana" w:eastAsia="Calibri" w:hAnsi="Verdana" w:cs="Times New Roman"/>
          <w:b/>
          <w:sz w:val="20"/>
          <w:szCs w:val="20"/>
          <w:lang w:val="bg-BG"/>
        </w:rPr>
      </w:pPr>
      <w:r w:rsidRPr="00BC23CA">
        <w:rPr>
          <w:rFonts w:ascii="Verdana" w:eastAsia="Calibri" w:hAnsi="Verdana" w:cs="Times New Roman"/>
          <w:b/>
          <w:sz w:val="20"/>
          <w:szCs w:val="20"/>
          <w:lang w:val="bg-BG"/>
        </w:rPr>
        <w:t>Разпределение на парите и причините за тревога</w:t>
      </w:r>
      <w:r>
        <w:rPr>
          <w:rFonts w:ascii="Verdana" w:eastAsia="Calibri" w:hAnsi="Verdana" w:cs="Times New Roman"/>
          <w:b/>
          <w:sz w:val="20"/>
          <w:szCs w:val="20"/>
          <w:lang w:val="bg-BG"/>
        </w:rPr>
        <w:t>.</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76% от руснаците казват, че са намалили разходите си в сравнение с 2015 г. (толкова са и през първото тримесечие на 2016 г.). Както и преди, спестяват предимно за нови дрехи (63%), развлечения извън дома (59%), хранителни продукти – преминали са към по-евтини марки (54%). 46% съкращават бюджета за уикендите и се отказват от кратки отпуски, 42% отлагат подновяването на техниката и електрониката</w:t>
      </w:r>
      <w:r>
        <w:rPr>
          <w:rFonts w:ascii="Verdana" w:eastAsia="Calibri" w:hAnsi="Verdana" w:cs="Times New Roman"/>
          <w:sz w:val="20"/>
          <w:szCs w:val="20"/>
          <w:lang w:val="bg-BG"/>
        </w:rPr>
        <w:t xml:space="preserve"> си</w:t>
      </w:r>
      <w:r w:rsidRPr="00BC23CA">
        <w:rPr>
          <w:rFonts w:ascii="Verdana" w:eastAsia="Calibri" w:hAnsi="Verdana" w:cs="Times New Roman"/>
          <w:sz w:val="20"/>
          <w:szCs w:val="20"/>
          <w:lang w:val="bg-BG"/>
        </w:rPr>
        <w:t>, 30% спестяват от газ и електроенергия.</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lastRenderedPageBreak/>
        <w:t>Когато икономическите условия се подобрят, напълно ще се откажат от взети</w:t>
      </w:r>
      <w:r>
        <w:rPr>
          <w:rFonts w:ascii="Verdana" w:eastAsia="Calibri" w:hAnsi="Verdana" w:cs="Times New Roman"/>
          <w:sz w:val="20"/>
          <w:szCs w:val="20"/>
          <w:lang w:val="bg-BG"/>
        </w:rPr>
        <w:t>те</w:t>
      </w:r>
      <w:r w:rsidRPr="00BC23CA">
        <w:rPr>
          <w:rFonts w:ascii="Verdana" w:eastAsia="Calibri" w:hAnsi="Verdana" w:cs="Times New Roman"/>
          <w:sz w:val="20"/>
          <w:szCs w:val="20"/>
          <w:lang w:val="bg-BG"/>
        </w:rPr>
        <w:t xml:space="preserve"> днес мерките за намаляване на разходите 21%. 20% са заявили, че ще продължат да икономисват на развлечения извън дома, газ и електроенергия, продукти – т.е, няма да преминават от по-евтини марки към по-скъпи. 17% ще продължат да се ограничават в закупуването на нови дрехи, 13% няма да се откажат от спестяването от закупуване на техника и електроника.</w:t>
      </w:r>
    </w:p>
    <w:p w:rsidR="00FA4657" w:rsidRPr="00BC23CA" w:rsidRDefault="00FA4657" w:rsidP="00FA4657">
      <w:pPr>
        <w:pStyle w:val="a3"/>
        <w:spacing w:line="276" w:lineRule="auto"/>
        <w:ind w:firstLine="708"/>
        <w:jc w:val="both"/>
        <w:rPr>
          <w:rFonts w:ascii="Verdana" w:eastAsia="Calibri" w:hAnsi="Verdana" w:cs="Times New Roman"/>
          <w:sz w:val="20"/>
          <w:szCs w:val="20"/>
          <w:lang w:val="bg-BG"/>
        </w:rPr>
      </w:pPr>
      <w:r w:rsidRPr="00BC23CA">
        <w:rPr>
          <w:rFonts w:ascii="Verdana" w:eastAsia="Calibri" w:hAnsi="Verdana" w:cs="Times New Roman"/>
          <w:sz w:val="20"/>
          <w:szCs w:val="20"/>
          <w:lang w:val="bg-BG"/>
        </w:rPr>
        <w:t>Назовавайки една основна причина за безпокойство, 15% от анкетираните са отговорили, че това е състоянието на националната икономика и запазването на работното място (19% и 14% съответно през първото тримесечие на 2016 г.), 14% смятат, че основната причина за безпокойство са нарастващите цени на хранителните продукти. Въпросът за здравето е приоритет за 9% анкетирани, 8% се тревож</w:t>
      </w:r>
      <w:r>
        <w:rPr>
          <w:rFonts w:ascii="Verdana" w:eastAsia="Calibri" w:hAnsi="Verdana" w:cs="Times New Roman"/>
          <w:sz w:val="20"/>
          <w:szCs w:val="20"/>
          <w:lang w:val="bg-BG"/>
        </w:rPr>
        <w:t>ат</w:t>
      </w:r>
      <w:r w:rsidRPr="00BC23CA">
        <w:rPr>
          <w:rFonts w:ascii="Verdana" w:eastAsia="Calibri" w:hAnsi="Verdana" w:cs="Times New Roman"/>
          <w:sz w:val="20"/>
          <w:szCs w:val="20"/>
          <w:lang w:val="bg-BG"/>
        </w:rPr>
        <w:t xml:space="preserve"> от повишаването на цените на жилищните и комунални услуги.</w:t>
      </w:r>
    </w:p>
    <w:p w:rsidR="00FA4657" w:rsidRDefault="00FA4657" w:rsidP="00FA4657">
      <w:pPr>
        <w:pStyle w:val="a3"/>
        <w:spacing w:line="276" w:lineRule="auto"/>
        <w:jc w:val="center"/>
        <w:rPr>
          <w:rFonts w:ascii="Verdana" w:hAnsi="Verdana"/>
          <w:i/>
          <w:sz w:val="18"/>
          <w:szCs w:val="18"/>
          <w:lang w:val="bg-BG"/>
        </w:rPr>
      </w:pPr>
    </w:p>
    <w:p w:rsidR="00FA4657" w:rsidRDefault="00FA4657" w:rsidP="00FA4657">
      <w:pPr>
        <w:pStyle w:val="a3"/>
        <w:spacing w:line="276" w:lineRule="auto"/>
        <w:jc w:val="center"/>
        <w:rPr>
          <w:rFonts w:ascii="Verdana" w:hAnsi="Verdana"/>
          <w:i/>
          <w:sz w:val="18"/>
          <w:szCs w:val="18"/>
          <w:lang w:val="bg-BG"/>
        </w:rPr>
      </w:pPr>
      <w:r w:rsidRPr="00BC23CA">
        <w:rPr>
          <w:rFonts w:ascii="Verdana" w:hAnsi="Verdana"/>
          <w:i/>
          <w:sz w:val="18"/>
          <w:szCs w:val="18"/>
          <w:lang w:val="bg-BG"/>
        </w:rPr>
        <w:t>Разпределение на отговорите на руснаците на въпроса: „Коя е най-голямата причина за безпокойство през последните месеци“ – 02.2016 г.</w:t>
      </w:r>
    </w:p>
    <w:p w:rsidR="00FA4657" w:rsidRPr="00BC23CA" w:rsidRDefault="00FA4657" w:rsidP="00FA4657">
      <w:pPr>
        <w:pStyle w:val="a3"/>
        <w:spacing w:line="276" w:lineRule="auto"/>
        <w:jc w:val="center"/>
        <w:rPr>
          <w:rFonts w:ascii="Verdana" w:hAnsi="Verdana"/>
          <w:sz w:val="18"/>
          <w:szCs w:val="18"/>
          <w:lang w:val="bg-BG"/>
        </w:rPr>
      </w:pPr>
    </w:p>
    <w:p w:rsidR="00FA4657" w:rsidRDefault="00FA4657" w:rsidP="00FA4657">
      <w:pPr>
        <w:spacing w:after="0"/>
        <w:ind w:firstLine="708"/>
        <w:jc w:val="center"/>
        <w:rPr>
          <w:rFonts w:ascii="Verdana" w:eastAsia="Calibri" w:hAnsi="Verdana" w:cs="Times New Roman"/>
          <w:sz w:val="20"/>
          <w:szCs w:val="20"/>
          <w:lang w:val="bg-BG"/>
        </w:rPr>
      </w:pPr>
      <w:r>
        <w:rPr>
          <w:noProof/>
          <w:lang w:eastAsia="ru-RU"/>
        </w:rPr>
        <w:drawing>
          <wp:inline distT="0" distB="0" distL="0" distR="0" wp14:anchorId="4AA8C990" wp14:editId="4849649E">
            <wp:extent cx="4138246" cy="2092569"/>
            <wp:effectExtent l="0" t="0" r="0" b="3175"/>
            <wp:docPr id="677" name="Диаграмма 6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A4657" w:rsidRDefault="00FA4657" w:rsidP="00FA4657">
      <w:pPr>
        <w:spacing w:after="0"/>
        <w:ind w:firstLine="708"/>
        <w:jc w:val="right"/>
        <w:rPr>
          <w:rFonts w:ascii="Verdana" w:eastAsia="Calibri" w:hAnsi="Verdana" w:cs="Times New Roman"/>
          <w:sz w:val="20"/>
          <w:szCs w:val="20"/>
          <w:lang w:val="bg-BG"/>
        </w:rPr>
      </w:pPr>
      <w:hyperlink r:id="rId8" w:history="1">
        <w:r w:rsidRPr="00794A1C">
          <w:rPr>
            <w:rStyle w:val="a5"/>
            <w:rFonts w:ascii="Verdana" w:eastAsia="Calibri" w:hAnsi="Verdana" w:cs="Times New Roman"/>
            <w:sz w:val="20"/>
            <w:szCs w:val="20"/>
            <w:lang w:val="bg-BG"/>
          </w:rPr>
          <w:t>http://www.nielsen.com</w:t>
        </w:r>
      </w:hyperlink>
      <w:r>
        <w:rPr>
          <w:rFonts w:ascii="Verdana" w:eastAsia="Calibri" w:hAnsi="Verdana" w:cs="Times New Roman"/>
          <w:sz w:val="20"/>
          <w:szCs w:val="20"/>
          <w:lang w:val="bg-BG"/>
        </w:rPr>
        <w:t xml:space="preserve"> </w:t>
      </w:r>
    </w:p>
    <w:p w:rsidR="00B30709" w:rsidRDefault="00B30709"/>
    <w:sectPr w:rsidR="00B30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57"/>
    <w:rsid w:val="00B30709"/>
    <w:rsid w:val="00FA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657"/>
    <w:pPr>
      <w:spacing w:after="0" w:line="240" w:lineRule="auto"/>
    </w:pPr>
  </w:style>
  <w:style w:type="character" w:styleId="a5">
    <w:name w:val="Hyperlink"/>
    <w:basedOn w:val="a0"/>
    <w:uiPriority w:val="99"/>
    <w:unhideWhenUsed/>
    <w:rsid w:val="00FA4657"/>
    <w:rPr>
      <w:color w:val="0000FF" w:themeColor="hyperlink"/>
      <w:u w:val="single"/>
    </w:rPr>
  </w:style>
  <w:style w:type="character" w:customStyle="1" w:styleId="a4">
    <w:name w:val="Без интервала Знак"/>
    <w:basedOn w:val="a0"/>
    <w:link w:val="a3"/>
    <w:uiPriority w:val="1"/>
    <w:rsid w:val="00FA4657"/>
  </w:style>
  <w:style w:type="paragraph" w:styleId="a6">
    <w:name w:val="Balloon Text"/>
    <w:basedOn w:val="a"/>
    <w:link w:val="a7"/>
    <w:uiPriority w:val="99"/>
    <w:semiHidden/>
    <w:unhideWhenUsed/>
    <w:rsid w:val="00FA46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657"/>
    <w:pPr>
      <w:spacing w:after="0" w:line="240" w:lineRule="auto"/>
    </w:pPr>
  </w:style>
  <w:style w:type="character" w:styleId="a5">
    <w:name w:val="Hyperlink"/>
    <w:basedOn w:val="a0"/>
    <w:uiPriority w:val="99"/>
    <w:unhideWhenUsed/>
    <w:rsid w:val="00FA4657"/>
    <w:rPr>
      <w:color w:val="0000FF" w:themeColor="hyperlink"/>
      <w:u w:val="single"/>
    </w:rPr>
  </w:style>
  <w:style w:type="character" w:customStyle="1" w:styleId="a4">
    <w:name w:val="Без интервала Знак"/>
    <w:basedOn w:val="a0"/>
    <w:link w:val="a3"/>
    <w:uiPriority w:val="1"/>
    <w:rsid w:val="00FA4657"/>
  </w:style>
  <w:style w:type="paragraph" w:styleId="a6">
    <w:name w:val="Balloon Text"/>
    <w:basedOn w:val="a"/>
    <w:link w:val="a7"/>
    <w:uiPriority w:val="99"/>
    <w:semiHidden/>
    <w:unhideWhenUsed/>
    <w:rsid w:val="00FA46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lsen.com" TargetMode="Externa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ru/url?sa=i&amp;rct=j&amp;q=&amp;esrc=s&amp;source=images&amp;cd=&amp;cad=rja&amp;uact=8&amp;ved=&amp;url=http://bilheal.bilkent.edu.tr/aykonu/ay2012/anxiete/anxietestress.htm&amp;psig=AFQjCNErPFJLwcJLwQQZBFsE16Tdp0Dm5A&amp;ust=14704852509214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2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091936424613595E-2"/>
          <c:y val="0.10615079365079365"/>
          <c:w val="0.39905764183323239"/>
          <c:h val="0.89060074572223535"/>
        </c:manualLayout>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Лист1!$A$2:$A$7</c:f>
              <c:strCache>
                <c:ptCount val="6"/>
                <c:pt idx="0">
                  <c:v>състояние на икономиката</c:v>
                </c:pt>
                <c:pt idx="1">
                  <c:v>запазване на работното място</c:v>
                </c:pt>
                <c:pt idx="2">
                  <c:v>ръст на цените на продуктите</c:v>
                </c:pt>
                <c:pt idx="3">
                  <c:v>здравето </c:v>
                </c:pt>
                <c:pt idx="4">
                  <c:v>ръст на комуналните цени</c:v>
                </c:pt>
                <c:pt idx="5">
                  <c:v>война</c:v>
                </c:pt>
              </c:strCache>
            </c:strRef>
          </c:cat>
          <c:val>
            <c:numRef>
              <c:f>Лист1!$B$2:$B$7</c:f>
              <c:numCache>
                <c:formatCode>0%</c:formatCode>
                <c:ptCount val="6"/>
                <c:pt idx="0">
                  <c:v>0.15</c:v>
                </c:pt>
                <c:pt idx="1">
                  <c:v>0.15</c:v>
                </c:pt>
                <c:pt idx="2">
                  <c:v>0.14000000000000001</c:v>
                </c:pt>
                <c:pt idx="3">
                  <c:v>0.08</c:v>
                </c:pt>
                <c:pt idx="4">
                  <c:v>0.08</c:v>
                </c:pt>
                <c:pt idx="5">
                  <c:v>7.0000000000000007E-2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145403603690643"/>
          <c:y val="0.17696681664791902"/>
          <c:w val="0.46174918211962784"/>
          <c:h val="0.53997337561694925"/>
        </c:manualLayout>
      </c:layout>
      <c:overlay val="0"/>
      <c:txPr>
        <a:bodyPr/>
        <a:lstStyle/>
        <a:p>
          <a:pPr>
            <a:defRPr sz="900"/>
          </a:pPr>
          <a:endParaRPr lang="ru-RU"/>
        </a:p>
      </c:txPr>
    </c:legend>
    <c:plotVisOnly val="1"/>
    <c:dispBlanksAs val="gap"/>
    <c:showDLblsOverMax val="0"/>
  </c:chart>
  <c:spPr>
    <a:solidFill>
      <a:srgbClr val="1F497D">
        <a:lumMod val="20000"/>
        <a:lumOff val="80000"/>
      </a:srgbClr>
    </a:solid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stenly</dc:creator>
  <cp:lastModifiedBy>stenly</cp:lastModifiedBy>
  <cp:revision>1</cp:revision>
  <dcterms:created xsi:type="dcterms:W3CDTF">2016-08-10T08:09:00Z</dcterms:created>
  <dcterms:modified xsi:type="dcterms:W3CDTF">2016-08-10T08:10:00Z</dcterms:modified>
</cp:coreProperties>
</file>