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C4A" w:rsidRPr="00AB4F0B" w:rsidRDefault="00FA4C4A" w:rsidP="00FA4C4A">
      <w:pPr>
        <w:pStyle w:val="a4"/>
        <w:spacing w:line="276" w:lineRule="auto"/>
        <w:ind w:firstLine="708"/>
        <w:jc w:val="both"/>
        <w:rPr>
          <w:rFonts w:ascii="Verdana" w:hAnsi="Verdana"/>
          <w:b/>
          <w:sz w:val="20"/>
          <w:szCs w:val="20"/>
          <w:lang w:val="bg-BG"/>
        </w:rPr>
      </w:pPr>
    </w:p>
    <w:p w:rsidR="00FA4C4A" w:rsidRPr="00AB4F0B" w:rsidRDefault="00FA4C4A" w:rsidP="00FA4C4A">
      <w:pPr>
        <w:pStyle w:val="a3"/>
        <w:spacing w:after="0"/>
        <w:jc w:val="both"/>
        <w:rPr>
          <w:rFonts w:ascii="Verdana" w:hAnsi="Verdana"/>
          <w:b/>
          <w:sz w:val="20"/>
          <w:szCs w:val="20"/>
          <w:lang w:val="bg-BG"/>
        </w:rPr>
      </w:pPr>
      <w:r w:rsidRPr="00AB4F0B">
        <w:rPr>
          <w:rFonts w:ascii="Times New Roman" w:eastAsia="Times New Roman" w:hAnsi="Times New Roman" w:cs="Times New Roman"/>
          <w:noProof/>
          <w:color w:val="0000FF"/>
          <w:sz w:val="24"/>
          <w:szCs w:val="24"/>
          <w:bdr w:val="none" w:sz="0" w:space="0" w:color="auto" w:frame="1"/>
          <w:lang w:eastAsia="ru-RU"/>
        </w:rPr>
        <w:drawing>
          <wp:anchor distT="0" distB="0" distL="114300" distR="114300" simplePos="0" relativeHeight="251659264" behindDoc="0" locked="0" layoutInCell="1" allowOverlap="1" wp14:anchorId="3489154B" wp14:editId="0A02B085">
            <wp:simplePos x="0" y="0"/>
            <wp:positionH relativeFrom="column">
              <wp:posOffset>27940</wp:posOffset>
            </wp:positionH>
            <wp:positionV relativeFrom="paragraph">
              <wp:posOffset>88265</wp:posOffset>
            </wp:positionV>
            <wp:extent cx="2026285" cy="1757045"/>
            <wp:effectExtent l="0" t="0" r="0" b="0"/>
            <wp:wrapSquare wrapText="bothSides"/>
            <wp:docPr id="21" name="irc_mi" descr="http://www.ahmk.ru/files/images/0370122252_2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hmk.ru/files/images/0370122252_22.jp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26285" cy="1757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B4F0B">
        <w:rPr>
          <w:rFonts w:ascii="Verdana" w:hAnsi="Verdana"/>
          <w:b/>
          <w:sz w:val="20"/>
          <w:szCs w:val="20"/>
          <w:lang w:val="bg-BG"/>
        </w:rPr>
        <w:tab/>
      </w:r>
      <w:r>
        <w:rPr>
          <w:rFonts w:ascii="Verdana" w:hAnsi="Verdana"/>
          <w:b/>
          <w:sz w:val="20"/>
          <w:szCs w:val="20"/>
          <w:lang w:val="bg-BG"/>
        </w:rPr>
        <w:tab/>
      </w:r>
      <w:r>
        <w:rPr>
          <w:rFonts w:ascii="Verdana" w:hAnsi="Verdana"/>
          <w:b/>
          <w:sz w:val="20"/>
          <w:szCs w:val="20"/>
          <w:lang w:val="bg-BG"/>
        </w:rPr>
        <w:tab/>
      </w:r>
      <w:r>
        <w:rPr>
          <w:rFonts w:ascii="Verdana" w:hAnsi="Verdana"/>
          <w:b/>
          <w:sz w:val="20"/>
          <w:szCs w:val="20"/>
          <w:lang w:val="bg-BG"/>
        </w:rPr>
        <w:tab/>
      </w:r>
      <w:r>
        <w:rPr>
          <w:rFonts w:ascii="Verdana" w:hAnsi="Verdana"/>
          <w:b/>
          <w:sz w:val="20"/>
          <w:szCs w:val="20"/>
          <w:lang w:val="bg-BG"/>
        </w:rPr>
        <w:tab/>
      </w:r>
      <w:r>
        <w:rPr>
          <w:rFonts w:ascii="Verdana" w:hAnsi="Verdana"/>
          <w:b/>
          <w:sz w:val="20"/>
          <w:szCs w:val="20"/>
          <w:lang w:val="bg-BG"/>
        </w:rPr>
        <w:tab/>
      </w:r>
    </w:p>
    <w:p w:rsidR="00FA4C4A" w:rsidRPr="00AB4F0B" w:rsidRDefault="00FA4C4A" w:rsidP="00FA4C4A">
      <w:pPr>
        <w:rPr>
          <w:rFonts w:ascii="Verdana" w:eastAsia="Times New Roman" w:hAnsi="Verdana" w:cs="Times New Roman"/>
          <w:sz w:val="20"/>
          <w:szCs w:val="20"/>
          <w:lang w:val="bg-BG" w:eastAsia="ru-RU"/>
        </w:rPr>
      </w:pPr>
      <w:r w:rsidRPr="00AB4F0B">
        <w:rPr>
          <w:rFonts w:ascii="Verdana" w:hAnsi="Verdana"/>
          <w:b/>
          <w:sz w:val="20"/>
          <w:szCs w:val="20"/>
          <w:lang w:val="bg-BG"/>
        </w:rPr>
        <w:t>Обзор на руския пазар на колбасни</w:t>
      </w:r>
      <w:r>
        <w:rPr>
          <w:rFonts w:ascii="Verdana" w:hAnsi="Verdana"/>
          <w:b/>
          <w:sz w:val="20"/>
          <w:szCs w:val="20"/>
          <w:lang w:val="bg-BG"/>
        </w:rPr>
        <w:t xml:space="preserve"> </w:t>
      </w:r>
      <w:r w:rsidRPr="00AB4F0B">
        <w:rPr>
          <w:rFonts w:ascii="Verdana" w:hAnsi="Verdana"/>
          <w:b/>
          <w:sz w:val="20"/>
          <w:szCs w:val="20"/>
          <w:lang w:val="bg-BG"/>
        </w:rPr>
        <w:t>изделия след въвеждане на санкциите</w:t>
      </w:r>
    </w:p>
    <w:p w:rsidR="00FA4C4A" w:rsidRPr="00AB4F0B" w:rsidRDefault="00FA4C4A" w:rsidP="00FA4C4A">
      <w:pPr>
        <w:spacing w:after="0"/>
        <w:ind w:firstLine="708"/>
        <w:jc w:val="both"/>
        <w:rPr>
          <w:rFonts w:ascii="Verdana" w:eastAsia="Times New Roman" w:hAnsi="Verdana" w:cs="Times New Roman"/>
          <w:sz w:val="20"/>
          <w:szCs w:val="20"/>
          <w:lang w:val="bg-BG" w:eastAsia="ru-RU"/>
        </w:rPr>
      </w:pPr>
      <w:r w:rsidRPr="00AB4F0B">
        <w:rPr>
          <w:rFonts w:ascii="Verdana" w:eastAsia="Times New Roman" w:hAnsi="Verdana" w:cs="Times New Roman"/>
          <w:sz w:val="20"/>
          <w:szCs w:val="20"/>
          <w:lang w:val="bg-BG" w:eastAsia="ru-RU"/>
        </w:rPr>
        <w:t xml:space="preserve">Колбаси – хранителен продукт, приготвен от смляно месо, мазнини, субпродукти (вторични продукти) с добавка на сол, </w:t>
      </w:r>
      <w:bookmarkStart w:id="0" w:name="_GoBack"/>
      <w:bookmarkEnd w:id="0"/>
      <w:r w:rsidRPr="00AB4F0B">
        <w:rPr>
          <w:rFonts w:ascii="Verdana" w:eastAsia="Times New Roman" w:hAnsi="Verdana" w:cs="Times New Roman"/>
          <w:sz w:val="20"/>
          <w:szCs w:val="20"/>
          <w:lang w:val="bg-BG" w:eastAsia="ru-RU"/>
        </w:rPr>
        <w:t xml:space="preserve">подправки, подложено на топлинна обработка  до готовност за употреба. Към колбасните изделия традиционно се отнасят малотрайните варено-пушени (кренвирши, мортадела, различни наденици), трайните варено-пушени (шпекови и други салами), сурово сушените (суджуци и луканки) и сурово пушените колбаси и др. </w:t>
      </w:r>
    </w:p>
    <w:p w:rsidR="00FA4C4A" w:rsidRPr="00AB4F0B" w:rsidRDefault="00FA4C4A" w:rsidP="00FA4C4A">
      <w:pPr>
        <w:spacing w:after="0"/>
        <w:ind w:firstLine="708"/>
        <w:jc w:val="both"/>
        <w:rPr>
          <w:rFonts w:ascii="Verdana" w:eastAsia="Times New Roman" w:hAnsi="Verdana" w:cs="Times New Roman"/>
          <w:sz w:val="20"/>
          <w:szCs w:val="20"/>
          <w:lang w:val="bg-BG" w:eastAsia="ru-RU"/>
        </w:rPr>
      </w:pPr>
      <w:r w:rsidRPr="00AB4F0B">
        <w:rPr>
          <w:rFonts w:ascii="Verdana" w:eastAsia="Times New Roman" w:hAnsi="Verdana" w:cs="Times New Roman"/>
          <w:sz w:val="20"/>
          <w:szCs w:val="20"/>
          <w:lang w:val="bg-BG" w:eastAsia="ru-RU"/>
        </w:rPr>
        <w:t>Разглеждайки отрасловата особеност на руския пазар, трябва да се отбележи, че за последните четири години, според динамиката на производство, се наблюдава стабилизация. Това говори за относително утвърдено търсене на продуктите на пазара.</w:t>
      </w:r>
    </w:p>
    <w:p w:rsidR="00FA4C4A" w:rsidRPr="00AB4F0B" w:rsidRDefault="00FA4C4A" w:rsidP="00FA4C4A">
      <w:pPr>
        <w:spacing w:after="0"/>
        <w:ind w:firstLine="708"/>
        <w:jc w:val="both"/>
        <w:rPr>
          <w:rFonts w:ascii="Verdana" w:eastAsia="Times New Roman" w:hAnsi="Verdana" w:cs="Times New Roman"/>
          <w:sz w:val="20"/>
          <w:szCs w:val="20"/>
          <w:lang w:val="bg-BG" w:eastAsia="ru-RU"/>
        </w:rPr>
      </w:pPr>
      <w:r w:rsidRPr="00AB4F0B">
        <w:rPr>
          <w:rFonts w:ascii="Verdana" w:eastAsia="Times New Roman" w:hAnsi="Verdana" w:cs="Times New Roman"/>
          <w:sz w:val="20"/>
          <w:szCs w:val="20"/>
          <w:lang w:val="bg-BG" w:eastAsia="ru-RU"/>
        </w:rPr>
        <w:t>Друго важно обстоятелство е, че голяма част от пазара на колбаси е заето от местни компании. Делът на вноса в общия обем на вътрешно производство съставлява не повече от 2-3%.</w:t>
      </w:r>
    </w:p>
    <w:p w:rsidR="00FA4C4A" w:rsidRPr="00AB4F0B" w:rsidRDefault="00FA4C4A" w:rsidP="00FA4C4A">
      <w:pPr>
        <w:spacing w:after="0"/>
        <w:ind w:firstLine="708"/>
        <w:jc w:val="both"/>
        <w:rPr>
          <w:rFonts w:ascii="Verdana" w:eastAsia="Times New Roman" w:hAnsi="Verdana" w:cs="Times New Roman"/>
          <w:sz w:val="20"/>
          <w:szCs w:val="20"/>
          <w:lang w:val="bg-BG" w:eastAsia="ru-RU"/>
        </w:rPr>
      </w:pPr>
      <w:r>
        <w:rPr>
          <w:rFonts w:ascii="Verdana" w:eastAsia="Times New Roman" w:hAnsi="Verdana" w:cs="Times New Roman"/>
          <w:sz w:val="20"/>
          <w:szCs w:val="20"/>
          <w:lang w:val="bg-BG" w:eastAsia="ru-RU"/>
        </w:rPr>
        <w:t>Прогнозите сочеха, че з</w:t>
      </w:r>
      <w:r w:rsidRPr="00AB4F0B">
        <w:rPr>
          <w:rFonts w:ascii="Verdana" w:eastAsia="Times New Roman" w:hAnsi="Verdana" w:cs="Times New Roman"/>
          <w:sz w:val="20"/>
          <w:szCs w:val="20"/>
          <w:lang w:val="bg-BG" w:eastAsia="ru-RU"/>
        </w:rPr>
        <w:t>абраната за внос на селскостопански продукти от страни на ЕС, САЩ, Канада, Австралия и Норвегия, която влезе в сила на 7 август 2014 г., ще доведе в краткосрочен план до негативни последствия</w:t>
      </w:r>
      <w:r>
        <w:rPr>
          <w:rFonts w:ascii="Verdana" w:eastAsia="Times New Roman" w:hAnsi="Verdana" w:cs="Times New Roman"/>
          <w:sz w:val="20"/>
          <w:szCs w:val="20"/>
          <w:lang w:val="bg-BG" w:eastAsia="ru-RU"/>
        </w:rPr>
        <w:t>. Все още съ</w:t>
      </w:r>
      <w:r w:rsidRPr="00AB4F0B">
        <w:rPr>
          <w:rFonts w:ascii="Verdana" w:eastAsia="Times New Roman" w:hAnsi="Verdana" w:cs="Times New Roman"/>
          <w:sz w:val="20"/>
          <w:szCs w:val="20"/>
          <w:lang w:val="bg-BG" w:eastAsia="ru-RU"/>
        </w:rPr>
        <w:t xml:space="preserve">ществува риск от покачване на цените, включително и на колбасите, снижаване на асортимента и конкуренцията. Като се вземе в предвид, че под ембаргото попадат не само колбасите, но и месо от едър рогат добитък, свинско, то това </w:t>
      </w:r>
      <w:r>
        <w:rPr>
          <w:rFonts w:ascii="Verdana" w:eastAsia="Times New Roman" w:hAnsi="Verdana" w:cs="Times New Roman"/>
          <w:sz w:val="20"/>
          <w:szCs w:val="20"/>
          <w:lang w:val="bg-BG" w:eastAsia="ru-RU"/>
        </w:rPr>
        <w:t xml:space="preserve">води </w:t>
      </w:r>
      <w:r w:rsidRPr="00AB4F0B">
        <w:rPr>
          <w:rFonts w:ascii="Verdana" w:eastAsia="Times New Roman" w:hAnsi="Verdana" w:cs="Times New Roman"/>
          <w:sz w:val="20"/>
          <w:szCs w:val="20"/>
          <w:lang w:val="bg-BG" w:eastAsia="ru-RU"/>
        </w:rPr>
        <w:t>до свиване на ресурсната база за руските производители, тъй като по данни на товарните групи, все още има голяма зависимост от вноса.</w:t>
      </w:r>
    </w:p>
    <w:p w:rsidR="00FA4C4A" w:rsidRPr="00AB4F0B" w:rsidRDefault="00FA4C4A" w:rsidP="00FA4C4A">
      <w:pPr>
        <w:spacing w:after="0"/>
        <w:ind w:firstLine="708"/>
        <w:jc w:val="both"/>
        <w:rPr>
          <w:rFonts w:ascii="Verdana" w:eastAsia="Times New Roman" w:hAnsi="Verdana" w:cs="Times New Roman"/>
          <w:sz w:val="20"/>
          <w:szCs w:val="20"/>
          <w:lang w:val="bg-BG" w:eastAsia="ru-RU"/>
        </w:rPr>
      </w:pPr>
      <w:r w:rsidRPr="00AB4F0B">
        <w:rPr>
          <w:rFonts w:ascii="Verdana" w:eastAsia="Times New Roman" w:hAnsi="Verdana" w:cs="Times New Roman"/>
          <w:sz w:val="20"/>
          <w:szCs w:val="20"/>
          <w:lang w:val="bg-BG" w:eastAsia="ru-RU"/>
        </w:rPr>
        <w:t>План за стимулиране на местните фермери, който се разработва в Правителството на РФ, трябва да снижи зависимостта от импорта на свинско и говеждо, което ще повиши продоволствената безопасност на страната в бъдеще.</w:t>
      </w:r>
    </w:p>
    <w:p w:rsidR="00FA4C4A" w:rsidRPr="00AB4F0B" w:rsidRDefault="00FA4C4A" w:rsidP="00FA4C4A">
      <w:pPr>
        <w:spacing w:after="0"/>
        <w:ind w:firstLine="708"/>
        <w:jc w:val="both"/>
        <w:rPr>
          <w:rFonts w:ascii="Verdana" w:eastAsia="Times New Roman" w:hAnsi="Verdana" w:cs="Times New Roman"/>
          <w:sz w:val="20"/>
          <w:szCs w:val="20"/>
          <w:lang w:val="bg-BG" w:eastAsia="ru-RU"/>
        </w:rPr>
      </w:pPr>
      <w:r w:rsidRPr="00AB4F0B">
        <w:rPr>
          <w:rFonts w:ascii="Verdana" w:eastAsia="Times New Roman" w:hAnsi="Verdana" w:cs="Times New Roman"/>
          <w:sz w:val="20"/>
          <w:szCs w:val="20"/>
          <w:lang w:val="bg-BG" w:eastAsia="ru-RU"/>
        </w:rPr>
        <w:t>По резултатите на 2013 г. в Русия е произведено 2 798 хиляди тона колбасна продукция (включително кренвирши и мортадела), което е по-малко с 2% от 2012 г. В предишните периоди е фиксиран прираст на отрасъла: на 1,9% през 2012 г. и на 3% през 2011 г.</w:t>
      </w:r>
    </w:p>
    <w:p w:rsidR="00FA4C4A" w:rsidRPr="00AB4F0B" w:rsidRDefault="00FA4C4A" w:rsidP="00FA4C4A">
      <w:pPr>
        <w:spacing w:after="0" w:line="240" w:lineRule="auto"/>
        <w:ind w:firstLine="708"/>
        <w:rPr>
          <w:rFonts w:ascii="Times New Roman" w:eastAsia="Times New Roman" w:hAnsi="Times New Roman" w:cs="Times New Roman"/>
          <w:sz w:val="24"/>
          <w:szCs w:val="24"/>
          <w:lang w:val="bg-BG" w:eastAsia="ru-RU"/>
        </w:rPr>
      </w:pPr>
    </w:p>
    <w:p w:rsidR="00FA4C4A" w:rsidRPr="00AB4F0B" w:rsidRDefault="00FA4C4A" w:rsidP="00FA4C4A">
      <w:pPr>
        <w:spacing w:after="0" w:line="240" w:lineRule="auto"/>
        <w:ind w:firstLine="708"/>
        <w:rPr>
          <w:rFonts w:ascii="Times New Roman" w:eastAsia="Times New Roman" w:hAnsi="Times New Roman" w:cs="Times New Roman"/>
          <w:sz w:val="24"/>
          <w:szCs w:val="24"/>
          <w:lang w:val="bg-BG" w:eastAsia="ru-RU"/>
        </w:rPr>
      </w:pPr>
      <w:r w:rsidRPr="00AB4F0B">
        <w:rPr>
          <w:rFonts w:ascii="Times New Roman" w:eastAsia="Times New Roman" w:hAnsi="Times New Roman" w:cs="Times New Roman"/>
          <w:noProof/>
          <w:sz w:val="24"/>
          <w:szCs w:val="24"/>
          <w:lang w:eastAsia="ru-RU"/>
        </w:rPr>
        <w:drawing>
          <wp:inline distT="0" distB="0" distL="0" distR="0" wp14:anchorId="243AA2BA" wp14:editId="78818D30">
            <wp:extent cx="5486400" cy="2031318"/>
            <wp:effectExtent l="0" t="0" r="0" b="762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A4C4A" w:rsidRPr="00AB4F0B" w:rsidRDefault="00FA4C4A" w:rsidP="00FA4C4A">
      <w:pPr>
        <w:spacing w:after="0" w:line="240" w:lineRule="auto"/>
        <w:ind w:firstLine="708"/>
        <w:rPr>
          <w:rFonts w:ascii="Times New Roman" w:eastAsia="Times New Roman" w:hAnsi="Times New Roman" w:cs="Times New Roman"/>
          <w:sz w:val="24"/>
          <w:szCs w:val="24"/>
          <w:lang w:val="bg-BG" w:eastAsia="ru-RU"/>
        </w:rPr>
      </w:pPr>
    </w:p>
    <w:p w:rsidR="00FA4C4A" w:rsidRPr="00AB4F0B" w:rsidRDefault="00FA4C4A" w:rsidP="00FA4C4A">
      <w:pPr>
        <w:spacing w:after="0"/>
        <w:ind w:firstLine="708"/>
        <w:jc w:val="both"/>
        <w:rPr>
          <w:rFonts w:ascii="Verdana" w:eastAsia="Times New Roman" w:hAnsi="Verdana" w:cs="Times New Roman"/>
          <w:sz w:val="20"/>
          <w:szCs w:val="20"/>
          <w:lang w:val="bg-BG" w:eastAsia="ru-RU"/>
        </w:rPr>
      </w:pPr>
      <w:r w:rsidRPr="00AB4F0B">
        <w:rPr>
          <w:rFonts w:ascii="Verdana" w:eastAsia="Times New Roman" w:hAnsi="Verdana" w:cs="Times New Roman"/>
          <w:sz w:val="20"/>
          <w:szCs w:val="20"/>
          <w:lang w:val="bg-BG" w:eastAsia="ru-RU"/>
        </w:rPr>
        <w:t xml:space="preserve">Негативната тенденция от 2013 г. по всяка вероятност ще се измени към ръст през текущата година, тъй като през януари-юли производството на колбасни продукти се е увеличило на 5,9%, спрямо съответстващият период на 2013 г. </w:t>
      </w:r>
    </w:p>
    <w:p w:rsidR="00FA4C4A" w:rsidRPr="00AB4F0B" w:rsidRDefault="00FA4C4A" w:rsidP="00FA4C4A">
      <w:pPr>
        <w:spacing w:after="0"/>
        <w:ind w:firstLine="708"/>
        <w:jc w:val="both"/>
        <w:rPr>
          <w:rFonts w:ascii="Verdana" w:eastAsia="Times New Roman" w:hAnsi="Verdana" w:cs="Times New Roman"/>
          <w:sz w:val="20"/>
          <w:szCs w:val="20"/>
          <w:lang w:val="bg-BG" w:eastAsia="ru-RU"/>
        </w:rPr>
      </w:pPr>
      <w:r w:rsidRPr="00AB4F0B">
        <w:rPr>
          <w:rFonts w:ascii="Verdana" w:eastAsia="Times New Roman" w:hAnsi="Verdana" w:cs="Times New Roman"/>
          <w:sz w:val="20"/>
          <w:szCs w:val="20"/>
          <w:lang w:val="bg-BG" w:eastAsia="ru-RU"/>
        </w:rPr>
        <w:lastRenderedPageBreak/>
        <w:t>Отчитайки положителната динамика, производството за една година в натурално изражение е достигнало 2960 хиляди тона.</w:t>
      </w:r>
    </w:p>
    <w:p w:rsidR="00FA4C4A" w:rsidRPr="00AB4F0B" w:rsidRDefault="00FA4C4A" w:rsidP="00FA4C4A">
      <w:pPr>
        <w:spacing w:after="0"/>
        <w:ind w:firstLine="708"/>
        <w:jc w:val="both"/>
        <w:rPr>
          <w:rFonts w:ascii="Verdana" w:eastAsia="Times New Roman" w:hAnsi="Verdana" w:cs="Times New Roman"/>
          <w:sz w:val="20"/>
          <w:szCs w:val="20"/>
          <w:lang w:val="bg-BG" w:eastAsia="ru-RU"/>
        </w:rPr>
      </w:pPr>
      <w:r w:rsidRPr="00AB4F0B">
        <w:rPr>
          <w:rFonts w:ascii="Verdana" w:eastAsia="Times New Roman" w:hAnsi="Verdana" w:cs="Times New Roman"/>
          <w:sz w:val="20"/>
          <w:szCs w:val="20"/>
          <w:lang w:val="bg-BG" w:eastAsia="ru-RU"/>
        </w:rPr>
        <w:t>Разглеждайки общият обем на пазара на колбасите е необходимо да се отчита външнотърговският оборот.</w:t>
      </w:r>
    </w:p>
    <w:p w:rsidR="00FA4C4A" w:rsidRPr="00AB4F0B" w:rsidRDefault="00FA4C4A" w:rsidP="00FA4C4A">
      <w:pPr>
        <w:spacing w:after="0" w:line="240" w:lineRule="auto"/>
        <w:ind w:firstLine="708"/>
        <w:rPr>
          <w:rFonts w:ascii="Times New Roman" w:eastAsia="Times New Roman" w:hAnsi="Times New Roman" w:cs="Times New Roman"/>
          <w:sz w:val="24"/>
          <w:szCs w:val="24"/>
          <w:lang w:val="bg-BG" w:eastAsia="ru-RU"/>
        </w:rPr>
      </w:pPr>
    </w:p>
    <w:p w:rsidR="00FA4C4A" w:rsidRPr="00AB4F0B" w:rsidRDefault="00FA4C4A" w:rsidP="00FA4C4A">
      <w:pPr>
        <w:spacing w:after="0" w:line="240" w:lineRule="auto"/>
        <w:ind w:firstLine="708"/>
        <w:rPr>
          <w:rFonts w:ascii="Times New Roman" w:eastAsia="Times New Roman" w:hAnsi="Times New Roman" w:cs="Times New Roman"/>
          <w:sz w:val="24"/>
          <w:szCs w:val="24"/>
          <w:lang w:val="bg-BG" w:eastAsia="ru-RU"/>
        </w:rPr>
      </w:pPr>
      <w:r w:rsidRPr="00AB4F0B">
        <w:rPr>
          <w:rFonts w:ascii="Times New Roman" w:eastAsia="Times New Roman" w:hAnsi="Times New Roman" w:cs="Times New Roman"/>
          <w:noProof/>
          <w:sz w:val="24"/>
          <w:szCs w:val="24"/>
          <w:lang w:eastAsia="ru-RU"/>
        </w:rPr>
        <w:drawing>
          <wp:inline distT="0" distB="0" distL="0" distR="0" wp14:anchorId="1D125F8E" wp14:editId="64E87A77">
            <wp:extent cx="5075227" cy="2602051"/>
            <wp:effectExtent l="0" t="0" r="0" b="8255"/>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A4C4A" w:rsidRPr="00AB4F0B" w:rsidRDefault="00FA4C4A" w:rsidP="00FA4C4A">
      <w:pPr>
        <w:pStyle w:val="24"/>
        <w:shd w:val="clear" w:color="auto" w:fill="auto"/>
        <w:spacing w:before="0"/>
        <w:ind w:left="20" w:right="40"/>
        <w:rPr>
          <w:lang w:val="bg-BG"/>
        </w:rPr>
      </w:pPr>
    </w:p>
    <w:p w:rsidR="00FA4C4A" w:rsidRPr="00AB4F0B" w:rsidRDefault="00FA4C4A" w:rsidP="00FA4C4A">
      <w:pPr>
        <w:pStyle w:val="24"/>
        <w:shd w:val="clear" w:color="auto" w:fill="auto"/>
        <w:spacing w:before="0" w:line="276" w:lineRule="auto"/>
        <w:ind w:left="20" w:right="40" w:firstLine="688"/>
        <w:jc w:val="both"/>
        <w:rPr>
          <w:rFonts w:ascii="Verdana" w:hAnsi="Verdana" w:cs="Times New Roman"/>
          <w:sz w:val="20"/>
          <w:szCs w:val="20"/>
          <w:lang w:val="bg-BG"/>
        </w:rPr>
      </w:pPr>
      <w:r w:rsidRPr="00AB4F0B">
        <w:rPr>
          <w:rFonts w:ascii="Verdana" w:hAnsi="Verdana" w:cs="Times New Roman"/>
          <w:sz w:val="20"/>
          <w:szCs w:val="20"/>
          <w:lang w:val="bg-BG"/>
        </w:rPr>
        <w:t>В парично изражение за миналата година импорт</w:t>
      </w:r>
      <w:r>
        <w:rPr>
          <w:rFonts w:ascii="Verdana" w:hAnsi="Verdana" w:cs="Times New Roman"/>
          <w:sz w:val="20"/>
          <w:szCs w:val="20"/>
          <w:lang w:val="bg-BG"/>
        </w:rPr>
        <w:t>ът</w:t>
      </w:r>
      <w:r w:rsidRPr="00AB4F0B">
        <w:rPr>
          <w:rFonts w:ascii="Verdana" w:hAnsi="Verdana" w:cs="Times New Roman"/>
          <w:sz w:val="20"/>
          <w:szCs w:val="20"/>
          <w:lang w:val="bg-BG"/>
        </w:rPr>
        <w:t xml:space="preserve"> е </w:t>
      </w:r>
      <w:r>
        <w:rPr>
          <w:rFonts w:ascii="Verdana" w:hAnsi="Verdana" w:cs="Times New Roman"/>
          <w:sz w:val="20"/>
          <w:szCs w:val="20"/>
          <w:lang w:val="bg-BG"/>
        </w:rPr>
        <w:t xml:space="preserve">бил равен </w:t>
      </w:r>
      <w:r w:rsidRPr="00AB4F0B">
        <w:rPr>
          <w:rFonts w:ascii="Verdana" w:hAnsi="Verdana" w:cs="Times New Roman"/>
          <w:sz w:val="20"/>
          <w:szCs w:val="20"/>
          <w:lang w:val="bg-BG"/>
        </w:rPr>
        <w:t>на 193 милиона долара, а експорт</w:t>
      </w:r>
      <w:r>
        <w:rPr>
          <w:rFonts w:ascii="Verdana" w:hAnsi="Verdana" w:cs="Times New Roman"/>
          <w:sz w:val="20"/>
          <w:szCs w:val="20"/>
          <w:lang w:val="bg-BG"/>
        </w:rPr>
        <w:t xml:space="preserve">ът - </w:t>
      </w:r>
      <w:r w:rsidRPr="00AB4F0B">
        <w:rPr>
          <w:rFonts w:ascii="Verdana" w:hAnsi="Verdana" w:cs="Times New Roman"/>
          <w:sz w:val="20"/>
          <w:szCs w:val="20"/>
          <w:lang w:val="bg-BG"/>
        </w:rPr>
        <w:t>на 100 милиона долара.</w:t>
      </w:r>
    </w:p>
    <w:p w:rsidR="00FA4C4A" w:rsidRPr="00AB4F0B" w:rsidRDefault="00FA4C4A" w:rsidP="00FA4C4A">
      <w:pPr>
        <w:pStyle w:val="24"/>
        <w:shd w:val="clear" w:color="auto" w:fill="auto"/>
        <w:spacing w:before="0" w:line="276" w:lineRule="auto"/>
        <w:ind w:left="20" w:right="40" w:firstLine="688"/>
        <w:jc w:val="both"/>
        <w:rPr>
          <w:rFonts w:ascii="Verdana" w:hAnsi="Verdana" w:cs="Times New Roman"/>
          <w:sz w:val="20"/>
          <w:szCs w:val="20"/>
          <w:lang w:val="bg-BG"/>
        </w:rPr>
      </w:pPr>
      <w:r w:rsidRPr="00AB4F0B">
        <w:rPr>
          <w:rFonts w:ascii="Verdana" w:hAnsi="Verdana" w:cs="Times New Roman"/>
          <w:sz w:val="20"/>
          <w:szCs w:val="20"/>
          <w:lang w:val="bg-BG"/>
        </w:rPr>
        <w:t>По този начин, съществуващото в страната производство предоставя на магазините колбаси от целия ценови диапазон и практически напълно удовлетворява вътрешните потребности. Малко вероятно е импорт</w:t>
      </w:r>
      <w:r>
        <w:rPr>
          <w:rFonts w:ascii="Verdana" w:hAnsi="Verdana" w:cs="Times New Roman"/>
          <w:sz w:val="20"/>
          <w:szCs w:val="20"/>
          <w:lang w:val="bg-BG"/>
        </w:rPr>
        <w:t>ът</w:t>
      </w:r>
      <w:r w:rsidRPr="00AB4F0B">
        <w:rPr>
          <w:rFonts w:ascii="Verdana" w:hAnsi="Verdana" w:cs="Times New Roman"/>
          <w:sz w:val="20"/>
          <w:szCs w:val="20"/>
          <w:lang w:val="bg-BG"/>
        </w:rPr>
        <w:t xml:space="preserve"> в близките  години да превиши 5% от общия обем на пазара, особено, като се има в предвид ембаргото.</w:t>
      </w:r>
    </w:p>
    <w:p w:rsidR="00FA4C4A" w:rsidRPr="00AB4F0B" w:rsidRDefault="00FA4C4A" w:rsidP="00FA4C4A">
      <w:pPr>
        <w:pStyle w:val="24"/>
        <w:shd w:val="clear" w:color="auto" w:fill="auto"/>
        <w:spacing w:before="0" w:line="276" w:lineRule="auto"/>
        <w:ind w:left="20" w:right="40" w:firstLine="688"/>
        <w:jc w:val="both"/>
        <w:rPr>
          <w:rFonts w:ascii="Verdana" w:hAnsi="Verdana" w:cs="Times New Roman"/>
          <w:sz w:val="20"/>
          <w:szCs w:val="20"/>
          <w:lang w:val="bg-BG"/>
        </w:rPr>
      </w:pPr>
      <w:r w:rsidRPr="00AB4F0B">
        <w:rPr>
          <w:rFonts w:ascii="Verdana" w:hAnsi="Verdana" w:cs="Times New Roman"/>
          <w:sz w:val="20"/>
          <w:szCs w:val="20"/>
          <w:lang w:val="bg-BG"/>
        </w:rPr>
        <w:t>По данни на митницата, основната страна импортьор на колбаси в Русия е Бел</w:t>
      </w:r>
      <w:r>
        <w:rPr>
          <w:rFonts w:ascii="Verdana" w:hAnsi="Verdana" w:cs="Times New Roman"/>
          <w:sz w:val="20"/>
          <w:szCs w:val="20"/>
          <w:lang w:val="bg-BG"/>
        </w:rPr>
        <w:t>а</w:t>
      </w:r>
      <w:r w:rsidRPr="00AB4F0B">
        <w:rPr>
          <w:rFonts w:ascii="Verdana" w:hAnsi="Verdana" w:cs="Times New Roman"/>
          <w:sz w:val="20"/>
          <w:szCs w:val="20"/>
          <w:lang w:val="bg-BG"/>
        </w:rPr>
        <w:t>рус – повече от 63% (32,8 хиляди тона продукция) за 110 милиона долара. На страните, включени в санкционния списък</w:t>
      </w:r>
      <w:r>
        <w:rPr>
          <w:rFonts w:ascii="Verdana" w:hAnsi="Verdana" w:cs="Times New Roman"/>
          <w:sz w:val="20"/>
          <w:szCs w:val="20"/>
          <w:lang w:val="bg-BG"/>
        </w:rPr>
        <w:t>,</w:t>
      </w:r>
      <w:r w:rsidRPr="00AB4F0B">
        <w:rPr>
          <w:rFonts w:ascii="Verdana" w:hAnsi="Verdana" w:cs="Times New Roman"/>
          <w:sz w:val="20"/>
          <w:szCs w:val="20"/>
          <w:lang w:val="bg-BG"/>
        </w:rPr>
        <w:t xml:space="preserve"> се пада 34,4% импортни доставки (17,8 хиляди тона) на сума 78 милиона долара.</w:t>
      </w:r>
    </w:p>
    <w:p w:rsidR="00FA4C4A" w:rsidRPr="00AB4F0B" w:rsidRDefault="00FA4C4A" w:rsidP="00FA4C4A">
      <w:pPr>
        <w:pStyle w:val="24"/>
        <w:shd w:val="clear" w:color="auto" w:fill="auto"/>
        <w:spacing w:before="0" w:line="276" w:lineRule="auto"/>
        <w:ind w:left="20" w:right="40" w:firstLine="688"/>
        <w:jc w:val="both"/>
        <w:rPr>
          <w:rFonts w:ascii="Verdana" w:hAnsi="Verdana" w:cs="Times New Roman"/>
          <w:sz w:val="20"/>
          <w:szCs w:val="20"/>
          <w:lang w:val="bg-BG"/>
        </w:rPr>
      </w:pPr>
      <w:r w:rsidRPr="00AB4F0B">
        <w:rPr>
          <w:rFonts w:ascii="Verdana" w:hAnsi="Verdana" w:cs="Times New Roman"/>
          <w:sz w:val="20"/>
          <w:szCs w:val="20"/>
          <w:lang w:val="bg-BG"/>
        </w:rPr>
        <w:t>В същото време руските компании не бързат да завоюват чуждестранните потребители – практически целият и без това незначителен експорт е към близките страни: Казахстан – 34,7 хиляди тона (93,4% от експорта) и Абхазия – 1,4 хиляди тона (3,8% от експорта).</w:t>
      </w:r>
    </w:p>
    <w:p w:rsidR="00FA4C4A" w:rsidRPr="00AB4F0B" w:rsidRDefault="00FA4C4A" w:rsidP="00FA4C4A">
      <w:pPr>
        <w:pStyle w:val="24"/>
        <w:shd w:val="clear" w:color="auto" w:fill="auto"/>
        <w:spacing w:before="0" w:line="276" w:lineRule="auto"/>
        <w:ind w:left="20" w:right="40" w:firstLine="688"/>
        <w:jc w:val="both"/>
        <w:rPr>
          <w:rFonts w:ascii="Verdana" w:hAnsi="Verdana" w:cs="Times New Roman"/>
          <w:sz w:val="20"/>
          <w:szCs w:val="20"/>
          <w:lang w:val="bg-BG"/>
        </w:rPr>
      </w:pPr>
      <w:r w:rsidRPr="00AB4F0B">
        <w:rPr>
          <w:rFonts w:ascii="Verdana" w:hAnsi="Verdana" w:cs="Times New Roman"/>
          <w:sz w:val="20"/>
          <w:szCs w:val="20"/>
          <w:lang w:val="bg-BG"/>
        </w:rPr>
        <w:t>Като цяло по страната от януари 2013 г. до юли 2014 г.</w:t>
      </w:r>
      <w:r>
        <w:rPr>
          <w:rFonts w:ascii="Verdana" w:hAnsi="Verdana" w:cs="Times New Roman"/>
          <w:sz w:val="20"/>
          <w:szCs w:val="20"/>
          <w:lang w:val="bg-BG"/>
        </w:rPr>
        <w:t xml:space="preserve"> </w:t>
      </w:r>
      <w:r w:rsidRPr="00AB4F0B">
        <w:rPr>
          <w:rFonts w:ascii="Verdana" w:hAnsi="Verdana" w:cs="Times New Roman"/>
          <w:sz w:val="20"/>
          <w:szCs w:val="20"/>
          <w:lang w:val="bg-BG"/>
        </w:rPr>
        <w:t xml:space="preserve">средната цена на дребно на малотрайните варени колбаси първи сорт се е увеличила най-много – </w:t>
      </w:r>
      <w:r>
        <w:rPr>
          <w:rFonts w:ascii="Verdana" w:hAnsi="Verdana" w:cs="Times New Roman"/>
          <w:sz w:val="20"/>
          <w:szCs w:val="20"/>
          <w:lang w:val="bg-BG"/>
        </w:rPr>
        <w:t>с</w:t>
      </w:r>
      <w:r w:rsidRPr="00AB4F0B">
        <w:rPr>
          <w:rFonts w:ascii="Verdana" w:hAnsi="Verdana" w:cs="Times New Roman"/>
          <w:sz w:val="20"/>
          <w:szCs w:val="20"/>
          <w:lang w:val="bg-BG"/>
        </w:rPr>
        <w:t xml:space="preserve"> 15,9% до 289 рубли за кг., на кренвиршите – </w:t>
      </w:r>
      <w:r>
        <w:rPr>
          <w:rFonts w:ascii="Verdana" w:hAnsi="Verdana" w:cs="Times New Roman"/>
          <w:sz w:val="20"/>
          <w:szCs w:val="20"/>
          <w:lang w:val="bg-BG"/>
        </w:rPr>
        <w:t>с</w:t>
      </w:r>
      <w:r w:rsidRPr="00AB4F0B">
        <w:rPr>
          <w:rFonts w:ascii="Verdana" w:hAnsi="Verdana" w:cs="Times New Roman"/>
          <w:sz w:val="20"/>
          <w:szCs w:val="20"/>
          <w:lang w:val="bg-BG"/>
        </w:rPr>
        <w:t xml:space="preserve"> 15% (273 руб. за кг.), на трайните варени колбаси – </w:t>
      </w:r>
      <w:r>
        <w:rPr>
          <w:rFonts w:ascii="Verdana" w:hAnsi="Verdana" w:cs="Times New Roman"/>
          <w:sz w:val="20"/>
          <w:szCs w:val="20"/>
          <w:lang w:val="bg-BG"/>
        </w:rPr>
        <w:t>с</w:t>
      </w:r>
      <w:r w:rsidRPr="00AB4F0B">
        <w:rPr>
          <w:rFonts w:ascii="Verdana" w:hAnsi="Verdana" w:cs="Times New Roman"/>
          <w:sz w:val="20"/>
          <w:szCs w:val="20"/>
          <w:lang w:val="bg-BG"/>
        </w:rPr>
        <w:t xml:space="preserve"> 14,9% (до 344 руб. за кг.), а на трайните колбаси – </w:t>
      </w:r>
      <w:r>
        <w:rPr>
          <w:rFonts w:ascii="Verdana" w:hAnsi="Verdana" w:cs="Times New Roman"/>
          <w:sz w:val="20"/>
          <w:szCs w:val="20"/>
          <w:lang w:val="bg-BG"/>
        </w:rPr>
        <w:t>с</w:t>
      </w:r>
      <w:r w:rsidRPr="00AB4F0B">
        <w:rPr>
          <w:rFonts w:ascii="Verdana" w:hAnsi="Verdana" w:cs="Times New Roman"/>
          <w:sz w:val="20"/>
          <w:szCs w:val="20"/>
          <w:lang w:val="bg-BG"/>
        </w:rPr>
        <w:t xml:space="preserve"> 12% (до 745 руб. за кг.). В текущата година динамиката на повишаване на цените на колбасната продукция се е ускорила.</w:t>
      </w:r>
    </w:p>
    <w:p w:rsidR="00FA4C4A" w:rsidRPr="00AB4F0B" w:rsidRDefault="00FA4C4A" w:rsidP="00FA4C4A">
      <w:pPr>
        <w:pStyle w:val="24"/>
        <w:shd w:val="clear" w:color="auto" w:fill="auto"/>
        <w:spacing w:before="0" w:line="276" w:lineRule="auto"/>
        <w:ind w:left="20" w:right="40" w:firstLine="688"/>
        <w:jc w:val="both"/>
        <w:rPr>
          <w:rFonts w:ascii="Verdana" w:hAnsi="Verdana" w:cs="Times New Roman"/>
          <w:sz w:val="20"/>
          <w:szCs w:val="20"/>
          <w:lang w:val="bg-BG"/>
        </w:rPr>
      </w:pPr>
      <w:r w:rsidRPr="00AB4F0B">
        <w:rPr>
          <w:rFonts w:ascii="Verdana" w:hAnsi="Verdana" w:cs="Times New Roman"/>
          <w:sz w:val="20"/>
          <w:szCs w:val="20"/>
          <w:lang w:val="bg-BG"/>
        </w:rPr>
        <w:t>По сведения, съдържащи се в базата на ГЛОБАС-i</w:t>
      </w:r>
      <w:r>
        <w:rPr>
          <w:rFonts w:ascii="Verdana" w:hAnsi="Verdana" w:cs="Times New Roman"/>
          <w:sz w:val="20"/>
          <w:szCs w:val="20"/>
          <w:lang w:val="bg-BG"/>
        </w:rPr>
        <w:t>,</w:t>
      </w:r>
      <w:r w:rsidRPr="00AB4F0B">
        <w:rPr>
          <w:rFonts w:ascii="Verdana" w:hAnsi="Verdana" w:cs="Times New Roman"/>
          <w:sz w:val="20"/>
          <w:szCs w:val="20"/>
          <w:lang w:val="bg-BG"/>
        </w:rPr>
        <w:t xml:space="preserve"> информационн</w:t>
      </w:r>
      <w:r>
        <w:rPr>
          <w:rFonts w:ascii="Verdana" w:hAnsi="Verdana" w:cs="Times New Roman"/>
          <w:sz w:val="20"/>
          <w:szCs w:val="20"/>
          <w:lang w:val="bg-BG"/>
        </w:rPr>
        <w:t xml:space="preserve">ата </w:t>
      </w:r>
      <w:r w:rsidRPr="00AB4F0B">
        <w:rPr>
          <w:rFonts w:ascii="Verdana" w:hAnsi="Verdana" w:cs="Times New Roman"/>
          <w:sz w:val="20"/>
          <w:szCs w:val="20"/>
          <w:lang w:val="bg-BG"/>
        </w:rPr>
        <w:t>аген</w:t>
      </w:r>
      <w:r>
        <w:rPr>
          <w:rFonts w:ascii="Verdana" w:hAnsi="Verdana" w:cs="Times New Roman"/>
          <w:sz w:val="20"/>
          <w:szCs w:val="20"/>
          <w:lang w:val="bg-BG"/>
        </w:rPr>
        <w:t xml:space="preserve">ция </w:t>
      </w:r>
      <w:r w:rsidRPr="00AB4F0B">
        <w:rPr>
          <w:rFonts w:ascii="Verdana" w:hAnsi="Verdana" w:cs="Times New Roman"/>
          <w:sz w:val="20"/>
          <w:szCs w:val="20"/>
          <w:lang w:val="bg-BG"/>
        </w:rPr>
        <w:t>на Крединформ, производители на колбасни изделия, които работят на пазара са около 1400 компании със сумарен оборот 565 милиарда рубли. Това говори за висока степен на фрагментираност на пазара.</w:t>
      </w:r>
    </w:p>
    <w:p w:rsidR="00FA4C4A" w:rsidRPr="00AB4F0B" w:rsidRDefault="00FA4C4A" w:rsidP="00FA4C4A">
      <w:pPr>
        <w:pStyle w:val="24"/>
        <w:shd w:val="clear" w:color="auto" w:fill="auto"/>
        <w:spacing w:before="0" w:line="276" w:lineRule="auto"/>
        <w:ind w:left="20" w:right="40" w:firstLine="688"/>
        <w:jc w:val="both"/>
        <w:rPr>
          <w:rFonts w:ascii="Verdana" w:hAnsi="Verdana" w:cs="Times New Roman"/>
          <w:sz w:val="20"/>
          <w:szCs w:val="20"/>
          <w:lang w:val="bg-BG"/>
        </w:rPr>
      </w:pPr>
      <w:r w:rsidRPr="00AB4F0B">
        <w:rPr>
          <w:rFonts w:ascii="Verdana" w:hAnsi="Verdana" w:cs="Times New Roman"/>
          <w:sz w:val="20"/>
          <w:szCs w:val="20"/>
          <w:lang w:val="bg-BG"/>
        </w:rPr>
        <w:t xml:space="preserve">Обобщавайки изложеното по-горе, независимо от незначителния външнотърговски оборот, в момента няма дефицит от месна продукция. През годините на пазарна икономика е създадено съвременно производство, напълно удовлетворяващо потребностите на вътрешния пазар.  </w:t>
      </w:r>
    </w:p>
    <w:p w:rsidR="00FA4C4A" w:rsidRPr="00AB4F0B" w:rsidRDefault="00FA4C4A" w:rsidP="00FA4C4A">
      <w:pPr>
        <w:pStyle w:val="a3"/>
        <w:spacing w:after="0"/>
        <w:jc w:val="right"/>
        <w:rPr>
          <w:rFonts w:ascii="Verdana" w:hAnsi="Verdana"/>
          <w:sz w:val="20"/>
          <w:szCs w:val="20"/>
          <w:lang w:val="bg-BG"/>
        </w:rPr>
      </w:pPr>
      <w:hyperlink r:id="rId9" w:history="1">
        <w:r w:rsidRPr="00AB4F0B">
          <w:rPr>
            <w:rStyle w:val="a6"/>
            <w:rFonts w:ascii="Verdana" w:hAnsi="Verdana"/>
            <w:sz w:val="20"/>
            <w:szCs w:val="20"/>
            <w:lang w:val="bg-BG"/>
          </w:rPr>
          <w:t>www.unipack.ru</w:t>
        </w:r>
      </w:hyperlink>
    </w:p>
    <w:p w:rsidR="00950908" w:rsidRDefault="00950908"/>
    <w:sectPr w:rsidR="009509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BAF"/>
    <w:rsid w:val="00017543"/>
    <w:rsid w:val="000505D5"/>
    <w:rsid w:val="0009214D"/>
    <w:rsid w:val="000B6636"/>
    <w:rsid w:val="000C2252"/>
    <w:rsid w:val="000C47D2"/>
    <w:rsid w:val="00113BBD"/>
    <w:rsid w:val="001302E3"/>
    <w:rsid w:val="00130AA0"/>
    <w:rsid w:val="00133F0E"/>
    <w:rsid w:val="001718AD"/>
    <w:rsid w:val="00173000"/>
    <w:rsid w:val="001C19CA"/>
    <w:rsid w:val="00227C5E"/>
    <w:rsid w:val="0029288B"/>
    <w:rsid w:val="00293949"/>
    <w:rsid w:val="002E0469"/>
    <w:rsid w:val="002E7011"/>
    <w:rsid w:val="002F3E1B"/>
    <w:rsid w:val="00302DAB"/>
    <w:rsid w:val="0033327F"/>
    <w:rsid w:val="0035221A"/>
    <w:rsid w:val="00374240"/>
    <w:rsid w:val="003E35B3"/>
    <w:rsid w:val="00456EA3"/>
    <w:rsid w:val="00480BC2"/>
    <w:rsid w:val="004A0612"/>
    <w:rsid w:val="004D37E6"/>
    <w:rsid w:val="00536AD7"/>
    <w:rsid w:val="00537AAF"/>
    <w:rsid w:val="005649F0"/>
    <w:rsid w:val="00594D57"/>
    <w:rsid w:val="005A0D2C"/>
    <w:rsid w:val="005A5D85"/>
    <w:rsid w:val="005A75F2"/>
    <w:rsid w:val="00620BE3"/>
    <w:rsid w:val="00630D2B"/>
    <w:rsid w:val="00672B3C"/>
    <w:rsid w:val="006D23D9"/>
    <w:rsid w:val="00704437"/>
    <w:rsid w:val="00771C2D"/>
    <w:rsid w:val="007A0CC2"/>
    <w:rsid w:val="007D00A7"/>
    <w:rsid w:val="007F33D5"/>
    <w:rsid w:val="00823BBC"/>
    <w:rsid w:val="00852F75"/>
    <w:rsid w:val="00854AEB"/>
    <w:rsid w:val="008D6B45"/>
    <w:rsid w:val="009369A4"/>
    <w:rsid w:val="00950908"/>
    <w:rsid w:val="00954963"/>
    <w:rsid w:val="00976502"/>
    <w:rsid w:val="00980FFC"/>
    <w:rsid w:val="009A10F5"/>
    <w:rsid w:val="009C1CA6"/>
    <w:rsid w:val="009D172A"/>
    <w:rsid w:val="00A22A08"/>
    <w:rsid w:val="00A36B8E"/>
    <w:rsid w:val="00A568D8"/>
    <w:rsid w:val="00A71713"/>
    <w:rsid w:val="00AB62E8"/>
    <w:rsid w:val="00AE30F4"/>
    <w:rsid w:val="00B249E2"/>
    <w:rsid w:val="00B405CE"/>
    <w:rsid w:val="00B42BAF"/>
    <w:rsid w:val="00B65ECC"/>
    <w:rsid w:val="00BB21F4"/>
    <w:rsid w:val="00BE00C2"/>
    <w:rsid w:val="00C11EDC"/>
    <w:rsid w:val="00C1651B"/>
    <w:rsid w:val="00C20E0B"/>
    <w:rsid w:val="00C27C6B"/>
    <w:rsid w:val="00C5022B"/>
    <w:rsid w:val="00C51708"/>
    <w:rsid w:val="00C75036"/>
    <w:rsid w:val="00C859A9"/>
    <w:rsid w:val="00CA5FFC"/>
    <w:rsid w:val="00D32177"/>
    <w:rsid w:val="00D41063"/>
    <w:rsid w:val="00D81AAF"/>
    <w:rsid w:val="00D925AB"/>
    <w:rsid w:val="00D967F6"/>
    <w:rsid w:val="00DD3DA8"/>
    <w:rsid w:val="00DF049E"/>
    <w:rsid w:val="00DF1739"/>
    <w:rsid w:val="00E31B6C"/>
    <w:rsid w:val="00E8114A"/>
    <w:rsid w:val="00EA2234"/>
    <w:rsid w:val="00EB3D49"/>
    <w:rsid w:val="00F00321"/>
    <w:rsid w:val="00F04454"/>
    <w:rsid w:val="00F17325"/>
    <w:rsid w:val="00F220CE"/>
    <w:rsid w:val="00F31C02"/>
    <w:rsid w:val="00F42EA0"/>
    <w:rsid w:val="00F6564D"/>
    <w:rsid w:val="00F766CA"/>
    <w:rsid w:val="00FA2BC4"/>
    <w:rsid w:val="00FA4C4A"/>
    <w:rsid w:val="00FD02A7"/>
    <w:rsid w:val="00FF5F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C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4C4A"/>
    <w:pPr>
      <w:ind w:left="720"/>
      <w:contextualSpacing/>
    </w:pPr>
  </w:style>
  <w:style w:type="paragraph" w:styleId="a4">
    <w:name w:val="No Spacing"/>
    <w:link w:val="a5"/>
    <w:uiPriority w:val="1"/>
    <w:qFormat/>
    <w:rsid w:val="00FA4C4A"/>
    <w:pPr>
      <w:spacing w:after="0" w:line="240" w:lineRule="auto"/>
    </w:pPr>
  </w:style>
  <w:style w:type="character" w:styleId="a6">
    <w:name w:val="Hyperlink"/>
    <w:basedOn w:val="a0"/>
    <w:uiPriority w:val="99"/>
    <w:unhideWhenUsed/>
    <w:rsid w:val="00FA4C4A"/>
    <w:rPr>
      <w:color w:val="0000FF" w:themeColor="hyperlink"/>
      <w:u w:val="single"/>
    </w:rPr>
  </w:style>
  <w:style w:type="character" w:customStyle="1" w:styleId="a5">
    <w:name w:val="Без интервала Знак"/>
    <w:basedOn w:val="a0"/>
    <w:link w:val="a4"/>
    <w:uiPriority w:val="1"/>
    <w:rsid w:val="00FA4C4A"/>
  </w:style>
  <w:style w:type="character" w:customStyle="1" w:styleId="Bodytext">
    <w:name w:val="Body text_"/>
    <w:basedOn w:val="a0"/>
    <w:link w:val="24"/>
    <w:rsid w:val="00FA4C4A"/>
    <w:rPr>
      <w:rFonts w:ascii="Segoe UI" w:eastAsia="Segoe UI" w:hAnsi="Segoe UI" w:cs="Segoe UI"/>
      <w:sz w:val="15"/>
      <w:szCs w:val="15"/>
      <w:shd w:val="clear" w:color="auto" w:fill="FFFFFF"/>
    </w:rPr>
  </w:style>
  <w:style w:type="paragraph" w:customStyle="1" w:styleId="24">
    <w:name w:val="Основной текст24"/>
    <w:basedOn w:val="a"/>
    <w:link w:val="Bodytext"/>
    <w:rsid w:val="00FA4C4A"/>
    <w:pPr>
      <w:shd w:val="clear" w:color="auto" w:fill="FFFFFF"/>
      <w:spacing w:before="180" w:after="0" w:line="226" w:lineRule="exact"/>
    </w:pPr>
    <w:rPr>
      <w:rFonts w:ascii="Segoe UI" w:eastAsia="Segoe UI" w:hAnsi="Segoe UI" w:cs="Segoe UI"/>
      <w:sz w:val="15"/>
      <w:szCs w:val="15"/>
    </w:rPr>
  </w:style>
  <w:style w:type="paragraph" w:styleId="a7">
    <w:name w:val="Balloon Text"/>
    <w:basedOn w:val="a"/>
    <w:link w:val="a8"/>
    <w:uiPriority w:val="99"/>
    <w:semiHidden/>
    <w:unhideWhenUsed/>
    <w:rsid w:val="00FA4C4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A4C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C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4C4A"/>
    <w:pPr>
      <w:ind w:left="720"/>
      <w:contextualSpacing/>
    </w:pPr>
  </w:style>
  <w:style w:type="paragraph" w:styleId="a4">
    <w:name w:val="No Spacing"/>
    <w:link w:val="a5"/>
    <w:uiPriority w:val="1"/>
    <w:qFormat/>
    <w:rsid w:val="00FA4C4A"/>
    <w:pPr>
      <w:spacing w:after="0" w:line="240" w:lineRule="auto"/>
    </w:pPr>
  </w:style>
  <w:style w:type="character" w:styleId="a6">
    <w:name w:val="Hyperlink"/>
    <w:basedOn w:val="a0"/>
    <w:uiPriority w:val="99"/>
    <w:unhideWhenUsed/>
    <w:rsid w:val="00FA4C4A"/>
    <w:rPr>
      <w:color w:val="0000FF" w:themeColor="hyperlink"/>
      <w:u w:val="single"/>
    </w:rPr>
  </w:style>
  <w:style w:type="character" w:customStyle="1" w:styleId="a5">
    <w:name w:val="Без интервала Знак"/>
    <w:basedOn w:val="a0"/>
    <w:link w:val="a4"/>
    <w:uiPriority w:val="1"/>
    <w:rsid w:val="00FA4C4A"/>
  </w:style>
  <w:style w:type="character" w:customStyle="1" w:styleId="Bodytext">
    <w:name w:val="Body text_"/>
    <w:basedOn w:val="a0"/>
    <w:link w:val="24"/>
    <w:rsid w:val="00FA4C4A"/>
    <w:rPr>
      <w:rFonts w:ascii="Segoe UI" w:eastAsia="Segoe UI" w:hAnsi="Segoe UI" w:cs="Segoe UI"/>
      <w:sz w:val="15"/>
      <w:szCs w:val="15"/>
      <w:shd w:val="clear" w:color="auto" w:fill="FFFFFF"/>
    </w:rPr>
  </w:style>
  <w:style w:type="paragraph" w:customStyle="1" w:styleId="24">
    <w:name w:val="Основной текст24"/>
    <w:basedOn w:val="a"/>
    <w:link w:val="Bodytext"/>
    <w:rsid w:val="00FA4C4A"/>
    <w:pPr>
      <w:shd w:val="clear" w:color="auto" w:fill="FFFFFF"/>
      <w:spacing w:before="180" w:after="0" w:line="226" w:lineRule="exact"/>
    </w:pPr>
    <w:rPr>
      <w:rFonts w:ascii="Segoe UI" w:eastAsia="Segoe UI" w:hAnsi="Segoe UI" w:cs="Segoe UI"/>
      <w:sz w:val="15"/>
      <w:szCs w:val="15"/>
    </w:rPr>
  </w:style>
  <w:style w:type="paragraph" w:styleId="a7">
    <w:name w:val="Balloon Text"/>
    <w:basedOn w:val="a"/>
    <w:link w:val="a8"/>
    <w:uiPriority w:val="99"/>
    <w:semiHidden/>
    <w:unhideWhenUsed/>
    <w:rsid w:val="00FA4C4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A4C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google.ru/url?sa=i&amp;rct=j&amp;q=&amp;esrc=s&amp;source=images&amp;cd=&amp;cad=rja&amp;uact=8&amp;ved=0CAcQjRw&amp;url=http://www.ahmk.ru/equipments/other/evroramy_universalnye_dlya_kopcheniya&amp;ei=px5GVPPJJYLTygOujYCwDQ&amp;bvm=bv.77880786,d.bGQ&amp;psig=AFQjCNGEzjj5_qts35njto49mXMZsGaU6g&amp;ust=141396759928916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nipack.ru"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ru-RU"/>
            </a:pPr>
            <a:r>
              <a:rPr lang="ru-RU" sz="1000">
                <a:latin typeface="Verdana" panose="020B0604030504040204" pitchFamily="34" charset="0"/>
                <a:ea typeface="Verdana" panose="020B0604030504040204" pitchFamily="34" charset="0"/>
                <a:cs typeface="Verdana" panose="020B0604030504040204" pitchFamily="34" charset="0"/>
              </a:rPr>
              <a:t>Структура на пазара на колбасни изделия по видове в натурално изражение, %</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
          <c:y val="0.30074308253682175"/>
          <c:w val="0.52916083406240888"/>
          <c:h val="0.61365026369827647"/>
        </c:manualLayout>
      </c:layout>
      <c:pie3DChart>
        <c:varyColors val="1"/>
        <c:ser>
          <c:idx val="0"/>
          <c:order val="0"/>
          <c:tx>
            <c:strRef>
              <c:f>Лист1!$B$1</c:f>
              <c:strCache>
                <c:ptCount val="1"/>
                <c:pt idx="0">
                  <c:v>Продажи</c:v>
                </c:pt>
              </c:strCache>
            </c:strRef>
          </c:tx>
          <c:explosion val="25"/>
          <c:dLbls>
            <c:txPr>
              <a:bodyPr/>
              <a:lstStyle/>
              <a:p>
                <a:pPr>
                  <a:defRPr lang="ru-RU"/>
                </a:pPr>
                <a:endParaRPr lang="ru-RU"/>
              </a:p>
            </c:txPr>
            <c:showLegendKey val="0"/>
            <c:showVal val="1"/>
            <c:showCatName val="0"/>
            <c:showSerName val="0"/>
            <c:showPercent val="0"/>
            <c:showBubbleSize val="0"/>
            <c:showLeaderLines val="1"/>
          </c:dLbls>
          <c:cat>
            <c:strRef>
              <c:f>Лист1!$A$2:$A$9</c:f>
              <c:strCache>
                <c:ptCount val="8"/>
                <c:pt idx="0">
                  <c:v>малотрайни варени</c:v>
                </c:pt>
                <c:pt idx="1">
                  <c:v>малотрайни пушени</c:v>
                </c:pt>
                <c:pt idx="2">
                  <c:v>кренвирши</c:v>
                </c:pt>
                <c:pt idx="3">
                  <c:v>трайно варени</c:v>
                </c:pt>
                <c:pt idx="4">
                  <c:v>трайни варено-пушени</c:v>
                </c:pt>
                <c:pt idx="5">
                  <c:v>мортадела</c:v>
                </c:pt>
                <c:pt idx="6">
                  <c:v>сурово сушени</c:v>
                </c:pt>
                <c:pt idx="7">
                  <c:v>други</c:v>
                </c:pt>
              </c:strCache>
            </c:strRef>
          </c:cat>
          <c:val>
            <c:numRef>
              <c:f>Лист1!$B$2:$B$9</c:f>
              <c:numCache>
                <c:formatCode>0%</c:formatCode>
                <c:ptCount val="8"/>
                <c:pt idx="0">
                  <c:v>0.29000000000000009</c:v>
                </c:pt>
                <c:pt idx="1">
                  <c:v>0.24000000000000005</c:v>
                </c:pt>
                <c:pt idx="2">
                  <c:v>0.16000000000000003</c:v>
                </c:pt>
                <c:pt idx="3">
                  <c:v>0.12000000000000002</c:v>
                </c:pt>
                <c:pt idx="4">
                  <c:v>9.0000000000000024E-2</c:v>
                </c:pt>
                <c:pt idx="5">
                  <c:v>5.0000000000000017E-2</c:v>
                </c:pt>
                <c:pt idx="6">
                  <c:v>2.0000000000000007E-2</c:v>
                </c:pt>
                <c:pt idx="7">
                  <c:v>3.0000000000000009E-2</c:v>
                </c:pt>
              </c:numCache>
            </c:numRef>
          </c:val>
        </c:ser>
        <c:dLbls>
          <c:showLegendKey val="0"/>
          <c:showVal val="0"/>
          <c:showCatName val="0"/>
          <c:showSerName val="0"/>
          <c:showPercent val="0"/>
          <c:showBubbleSize val="0"/>
          <c:showLeaderLines val="1"/>
        </c:dLbls>
      </c:pie3DChart>
      <c:spPr>
        <a:solidFill>
          <a:schemeClr val="tx2">
            <a:lumMod val="20000"/>
            <a:lumOff val="80000"/>
          </a:schemeClr>
        </a:solidFill>
        <a:ln>
          <a:noFill/>
        </a:ln>
      </c:spPr>
    </c:plotArea>
    <c:legend>
      <c:legendPos val="r"/>
      <c:layout>
        <c:manualLayout>
          <c:xMode val="edge"/>
          <c:yMode val="edge"/>
          <c:x val="0.52453120443277923"/>
          <c:y val="0.3327763907560336"/>
          <c:w val="0.31343175853018379"/>
          <c:h val="0.55546842001104679"/>
        </c:manualLayout>
      </c:layout>
      <c:overlay val="0"/>
      <c:txPr>
        <a:bodyPr/>
        <a:lstStyle/>
        <a:p>
          <a:pPr>
            <a:defRPr lang="ru-RU" sz="800">
              <a:latin typeface="Verdana" panose="020B0604030504040204" pitchFamily="34" charset="0"/>
              <a:ea typeface="Verdana" panose="020B0604030504040204" pitchFamily="34" charset="0"/>
              <a:cs typeface="Verdana" panose="020B0604030504040204" pitchFamily="34" charset="0"/>
            </a:defRPr>
          </a:pPr>
          <a:endParaRPr lang="ru-RU"/>
        </a:p>
      </c:txPr>
    </c:legend>
    <c:plotVisOnly val="1"/>
    <c:dispBlanksAs val="zero"/>
    <c:showDLblsOverMax val="0"/>
  </c:chart>
  <c:spPr>
    <a:solidFill>
      <a:schemeClr val="tx2">
        <a:lumMod val="20000"/>
        <a:lumOff val="80000"/>
      </a:schemeClr>
    </a:solid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stacked"/>
        <c:varyColors val="0"/>
        <c:ser>
          <c:idx val="0"/>
          <c:order val="0"/>
          <c:tx>
            <c:strRef>
              <c:f>Лист1!$B$1</c:f>
              <c:strCache>
                <c:ptCount val="1"/>
                <c:pt idx="0">
                  <c:v>импорт</c:v>
                </c:pt>
              </c:strCache>
            </c:strRef>
          </c:tx>
          <c:invertIfNegative val="0"/>
          <c:dLbls>
            <c:txPr>
              <a:bodyPr/>
              <a:lstStyle/>
              <a:p>
                <a:pPr>
                  <a:defRPr lang="ru-RU"/>
                </a:pPr>
                <a:endParaRPr lang="ru-RU"/>
              </a:p>
            </c:txPr>
            <c:showLegendKey val="0"/>
            <c:showVal val="1"/>
            <c:showCatName val="0"/>
            <c:showSerName val="0"/>
            <c:showPercent val="0"/>
            <c:showBubbleSize val="0"/>
            <c:showLeaderLines val="0"/>
          </c:dLbls>
          <c:cat>
            <c:numRef>
              <c:f>Лист1!$A$2:$A$5</c:f>
              <c:numCache>
                <c:formatCode>General</c:formatCode>
                <c:ptCount val="4"/>
                <c:pt idx="0">
                  <c:v>2011</c:v>
                </c:pt>
                <c:pt idx="1">
                  <c:v>2012</c:v>
                </c:pt>
                <c:pt idx="2">
                  <c:v>2013</c:v>
                </c:pt>
                <c:pt idx="3">
                  <c:v>2014</c:v>
                </c:pt>
              </c:numCache>
            </c:numRef>
          </c:cat>
          <c:val>
            <c:numRef>
              <c:f>Лист1!$B$2:$B$5</c:f>
              <c:numCache>
                <c:formatCode>General</c:formatCode>
                <c:ptCount val="4"/>
                <c:pt idx="0">
                  <c:v>44.2</c:v>
                </c:pt>
                <c:pt idx="1">
                  <c:v>42.5</c:v>
                </c:pt>
                <c:pt idx="2">
                  <c:v>51.7</c:v>
                </c:pt>
                <c:pt idx="3">
                  <c:v>27.3</c:v>
                </c:pt>
              </c:numCache>
            </c:numRef>
          </c:val>
        </c:ser>
        <c:ser>
          <c:idx val="1"/>
          <c:order val="1"/>
          <c:tx>
            <c:strRef>
              <c:f>Лист1!$C$1</c:f>
              <c:strCache>
                <c:ptCount val="1"/>
                <c:pt idx="0">
                  <c:v>експорт</c:v>
                </c:pt>
              </c:strCache>
            </c:strRef>
          </c:tx>
          <c:spPr>
            <a:solidFill>
              <a:srgbClr val="00B050"/>
            </a:solidFill>
          </c:spPr>
          <c:invertIfNegative val="0"/>
          <c:dLbls>
            <c:txPr>
              <a:bodyPr/>
              <a:lstStyle/>
              <a:p>
                <a:pPr>
                  <a:defRPr lang="ru-RU"/>
                </a:pPr>
                <a:endParaRPr lang="ru-RU"/>
              </a:p>
            </c:txPr>
            <c:showLegendKey val="0"/>
            <c:showVal val="1"/>
            <c:showCatName val="0"/>
            <c:showSerName val="0"/>
            <c:showPercent val="0"/>
            <c:showBubbleSize val="0"/>
            <c:showLeaderLines val="0"/>
          </c:dLbls>
          <c:cat>
            <c:numRef>
              <c:f>Лист1!$A$2:$A$5</c:f>
              <c:numCache>
                <c:formatCode>General</c:formatCode>
                <c:ptCount val="4"/>
                <c:pt idx="0">
                  <c:v>2011</c:v>
                </c:pt>
                <c:pt idx="1">
                  <c:v>2012</c:v>
                </c:pt>
                <c:pt idx="2">
                  <c:v>2013</c:v>
                </c:pt>
                <c:pt idx="3">
                  <c:v>2014</c:v>
                </c:pt>
              </c:numCache>
            </c:numRef>
          </c:cat>
          <c:val>
            <c:numRef>
              <c:f>Лист1!$C$2:$C$5</c:f>
              <c:numCache>
                <c:formatCode>General</c:formatCode>
                <c:ptCount val="4"/>
                <c:pt idx="0">
                  <c:v>30.3</c:v>
                </c:pt>
                <c:pt idx="1">
                  <c:v>31.9</c:v>
                </c:pt>
                <c:pt idx="2">
                  <c:v>37.200000000000003</c:v>
                </c:pt>
                <c:pt idx="3">
                  <c:v>17.3</c:v>
                </c:pt>
              </c:numCache>
            </c:numRef>
          </c:val>
        </c:ser>
        <c:dLbls>
          <c:showLegendKey val="0"/>
          <c:showVal val="0"/>
          <c:showCatName val="0"/>
          <c:showSerName val="0"/>
          <c:showPercent val="0"/>
          <c:showBubbleSize val="0"/>
        </c:dLbls>
        <c:gapWidth val="150"/>
        <c:overlap val="100"/>
        <c:axId val="218304512"/>
        <c:axId val="218306048"/>
      </c:barChart>
      <c:catAx>
        <c:axId val="218304512"/>
        <c:scaling>
          <c:orientation val="minMax"/>
        </c:scaling>
        <c:delete val="0"/>
        <c:axPos val="b"/>
        <c:numFmt formatCode="General" sourceLinked="1"/>
        <c:majorTickMark val="out"/>
        <c:minorTickMark val="none"/>
        <c:tickLblPos val="nextTo"/>
        <c:txPr>
          <a:bodyPr/>
          <a:lstStyle/>
          <a:p>
            <a:pPr>
              <a:defRPr lang="ru-RU"/>
            </a:pPr>
            <a:endParaRPr lang="ru-RU"/>
          </a:p>
        </c:txPr>
        <c:crossAx val="218306048"/>
        <c:crosses val="autoZero"/>
        <c:auto val="1"/>
        <c:lblAlgn val="ctr"/>
        <c:lblOffset val="100"/>
        <c:noMultiLvlLbl val="0"/>
      </c:catAx>
      <c:valAx>
        <c:axId val="218306048"/>
        <c:scaling>
          <c:orientation val="minMax"/>
        </c:scaling>
        <c:delete val="0"/>
        <c:axPos val="l"/>
        <c:majorGridlines/>
        <c:numFmt formatCode="General" sourceLinked="1"/>
        <c:majorTickMark val="out"/>
        <c:minorTickMark val="none"/>
        <c:tickLblPos val="nextTo"/>
        <c:txPr>
          <a:bodyPr/>
          <a:lstStyle/>
          <a:p>
            <a:pPr>
              <a:defRPr lang="ru-RU"/>
            </a:pPr>
            <a:endParaRPr lang="ru-RU"/>
          </a:p>
        </c:txPr>
        <c:crossAx val="218304512"/>
        <c:crosses val="autoZero"/>
        <c:crossBetween val="between"/>
      </c:valAx>
    </c:plotArea>
    <c:legend>
      <c:legendPos val="r"/>
      <c:overlay val="0"/>
      <c:txPr>
        <a:bodyPr/>
        <a:lstStyle/>
        <a:p>
          <a:pPr>
            <a:defRPr lang="ru-RU" sz="900">
              <a:latin typeface="Verdana" panose="020B0604030504040204" pitchFamily="34" charset="0"/>
              <a:ea typeface="Verdana" panose="020B0604030504040204" pitchFamily="34" charset="0"/>
              <a:cs typeface="Verdana" panose="020B0604030504040204" pitchFamily="34" charset="0"/>
            </a:defRPr>
          </a:pPr>
          <a:endParaRPr lang="ru-RU"/>
        </a:p>
      </c:txPr>
    </c:legend>
    <c:plotVisOnly val="1"/>
    <c:dispBlanksAs val="gap"/>
    <c:showDLblsOverMax val="0"/>
  </c:chart>
  <c:spPr>
    <a:solidFill>
      <a:schemeClr val="tx2">
        <a:lumMod val="20000"/>
        <a:lumOff val="80000"/>
      </a:schemeClr>
    </a:solidFill>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650</Words>
  <Characters>3711</Characters>
  <Application>Microsoft Office Word</Application>
  <DocSecurity>0</DocSecurity>
  <Lines>30</Lines>
  <Paragraphs>8</Paragraphs>
  <ScaleCrop>false</ScaleCrop>
  <Company>Prive</Company>
  <LinksUpToDate>false</LinksUpToDate>
  <CharactersWithSpaces>4353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UserXP</cp:lastModifiedBy>
  <cp:revision>2</cp:revision>
  <dcterms:created xsi:type="dcterms:W3CDTF">2014-11-12T14:37:00Z</dcterms:created>
  <dcterms:modified xsi:type="dcterms:W3CDTF">2014-11-12T14:38:00Z</dcterms:modified>
</cp:coreProperties>
</file>