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2E" w:rsidRPr="0063382E" w:rsidRDefault="0063382E" w:rsidP="0063382E">
      <w:pPr>
        <w:pStyle w:val="a3"/>
        <w:rPr>
          <w:rStyle w:val="a5"/>
          <w:rFonts w:ascii="Verdana" w:hAnsi="Verdana"/>
          <w:b/>
          <w:color w:val="auto"/>
          <w:sz w:val="20"/>
          <w:szCs w:val="20"/>
          <w:u w:val="none"/>
          <w:lang w:val="bg-BG"/>
        </w:rPr>
      </w:pPr>
    </w:p>
    <w:p w:rsidR="0063382E" w:rsidRPr="0063382E" w:rsidRDefault="0063382E" w:rsidP="0063382E">
      <w:pPr>
        <w:pStyle w:val="a3"/>
        <w:rPr>
          <w:rStyle w:val="a5"/>
          <w:rFonts w:ascii="Verdana" w:hAnsi="Verdana"/>
          <w:b/>
          <w:color w:val="auto"/>
          <w:sz w:val="20"/>
          <w:szCs w:val="20"/>
          <w:u w:val="none"/>
          <w:lang w:val="bg-BG"/>
        </w:rPr>
      </w:pPr>
      <w:r w:rsidRPr="0063382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3987063" wp14:editId="1A1C6D25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977515" cy="1987550"/>
            <wp:effectExtent l="0" t="0" r="0" b="0"/>
            <wp:wrapSquare wrapText="bothSides"/>
            <wp:docPr id="3" name="Рисунок 3" descr="Как выбрать теплицу? | Price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выбрать теплицу? | PriceM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82E">
        <w:rPr>
          <w:rStyle w:val="a5"/>
          <w:rFonts w:ascii="Verdana" w:hAnsi="Verdana"/>
          <w:b/>
          <w:color w:val="auto"/>
          <w:sz w:val="20"/>
          <w:szCs w:val="20"/>
          <w:u w:val="none"/>
          <w:lang w:val="bg-BG"/>
        </w:rPr>
        <w:t>СЪСТОЯНИЕТО НА ОРАНЖЕРИЙНИТЕ ПРЕДПРИЯТИЯ В РУСКАТА ФЕДЕРАЦИЯ ПО ВРЕМЕ НА ПАНДЕМИЯТА</w:t>
      </w:r>
    </w:p>
    <w:p w:rsidR="0063382E" w:rsidRPr="0063382E" w:rsidRDefault="0063382E" w:rsidP="0063382E">
      <w:pPr>
        <w:pStyle w:val="a3"/>
        <w:rPr>
          <w:rStyle w:val="a5"/>
          <w:rFonts w:ascii="Verdana" w:hAnsi="Verdana"/>
          <w:b/>
          <w:color w:val="auto"/>
          <w:sz w:val="20"/>
          <w:szCs w:val="20"/>
          <w:u w:val="none"/>
          <w:lang w:val="bg-BG"/>
        </w:rPr>
      </w:pPr>
    </w:p>
    <w:p w:rsidR="0063382E" w:rsidRPr="0063382E" w:rsidRDefault="0063382E" w:rsidP="0063382E">
      <w:pPr>
        <w:pStyle w:val="a3"/>
        <w:rPr>
          <w:rStyle w:val="a5"/>
          <w:rFonts w:ascii="Verdana" w:hAnsi="Verdana"/>
          <w:i/>
          <w:color w:val="auto"/>
          <w:sz w:val="20"/>
          <w:szCs w:val="20"/>
          <w:u w:val="none"/>
          <w:lang w:val="bg-BG"/>
        </w:rPr>
      </w:pPr>
      <w:r w:rsidRPr="0063382E">
        <w:rPr>
          <w:rStyle w:val="a5"/>
          <w:rFonts w:ascii="Verdana" w:hAnsi="Verdana"/>
          <w:i/>
          <w:color w:val="auto"/>
          <w:sz w:val="20"/>
          <w:szCs w:val="20"/>
          <w:u w:val="none"/>
          <w:lang w:val="bg-BG"/>
        </w:rPr>
        <w:t>Приходите на 96% от най-големите оранжерийни предприятия, членове на Асоциацията „Оранжерии на Русия“, паднаха по време на пандемията с 25% и повече. Това се посочва в проучване за въздействието на пандемията върху оранжерийната промишленост, което Асоциацията проведе през юни.</w:t>
      </w:r>
    </w:p>
    <w:p w:rsidR="0063382E" w:rsidRPr="0063382E" w:rsidRDefault="0063382E" w:rsidP="0063382E">
      <w:pPr>
        <w:pStyle w:val="a3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bookmarkStart w:id="0" w:name="_GoBack"/>
      <w:bookmarkEnd w:id="0"/>
    </w:p>
    <w:p w:rsidR="0063382E" w:rsidRPr="0063382E" w:rsidRDefault="0063382E" w:rsidP="0063382E">
      <w:pPr>
        <w:pStyle w:val="a3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63382E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Като цяло, възникналата ситуация поради пандемията се отрази негативно върху дейностите на всички оранжерийни комбинати в Русия, без изключение. През юни Асоциацията проведе проучване за влиянието на COVID-19 върху оранжерийната индустрия. Проучването показа, че почти всички комбинати (96%) регистрират спад в приходите с над 25% през пролетните месеци на тази година. Някои от анкетираните съобщават, че загубата на приходи е достигнала повече от 50%. Това е проблемът, който е най-притеснителен за представителите на индустрията.</w:t>
      </w:r>
    </w:p>
    <w:p w:rsidR="0063382E" w:rsidRPr="0063382E" w:rsidRDefault="0063382E" w:rsidP="0063382E">
      <w:pPr>
        <w:pStyle w:val="a3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63382E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Според представители на оранжерийните предприятия, основната причина за настоящите проблеми в бранша е липсата на допълнителна държавна подкрепа (67%). Недоброкачественото ценообразуване на продукцията в търговските вериги също се отразява негативно (17%).</w:t>
      </w:r>
    </w:p>
    <w:p w:rsidR="0063382E" w:rsidRPr="0063382E" w:rsidRDefault="0063382E" w:rsidP="0063382E">
      <w:pPr>
        <w:pStyle w:val="a3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63382E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 xml:space="preserve"> Представителите на оранжерийните комбинати отбелязаха като основна причина липсата на допълнителна държавна подкрепа за отрасъла. Това със сигурност се отразява на резултатите от работата на комбинатите в условията на държавни ограничителни мерки по време на епидемията. Също негативно отражение оказва ограничаването на работата на хипермаркетите и монополното положение на веригите, които през април се опитаха да диктуват ниски изкупни цени. Благодарение на преговорите, до средата на май асоциацията успя да възстанови статуквото в отношенията с търговските вериги, но за съжаление, пролетните месеци бяха изгубени за предприятията.</w:t>
      </w:r>
    </w:p>
    <w:p w:rsidR="0063382E" w:rsidRPr="0063382E" w:rsidRDefault="0063382E" w:rsidP="0063382E">
      <w:pPr>
        <w:pStyle w:val="a3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63382E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90% от представителите на оранжерийните предприятия отбелязват спад в търсенето на зеленчукови продукти. Причина за това е намалената покупателна способност на населението. На продажбите повлия увеличеното търсене на основни продукти, в резултат на което населението ограничи покупките на оранжерийни зеленчуци. Следователно продажните цени през април и май бяха значително по-ниски от миналата година.</w:t>
      </w:r>
    </w:p>
    <w:p w:rsidR="0063382E" w:rsidRPr="0063382E" w:rsidRDefault="0063382E" w:rsidP="0063382E">
      <w:pPr>
        <w:pStyle w:val="a3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63382E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52% от анкетираните посочват, че основният проблем на отрасъла е повишаването на тарифите за електроенергия. Според експертите в бранша, компенсацията на 50% от цената за електроенергия и газ, може да помогне на ситуацията.</w:t>
      </w:r>
    </w:p>
    <w:p w:rsidR="0063382E" w:rsidRPr="0063382E" w:rsidRDefault="0063382E" w:rsidP="0063382E">
      <w:pPr>
        <w:pStyle w:val="a3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63382E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На първо място, намаляването на приходите оказва значително влияние на разплащането с доставчиците на енергоносители. Освен това, оранжериите немогат да спрат или да намалят обемите на производство, както и да намалят количеството на консумираната енергия. В селското стопанство, оранжерийните комбинати са най-енергоемките предприятия. Допълнителни помощи от страна на държавата по този въпрос са необходими.</w:t>
      </w:r>
    </w:p>
    <w:p w:rsidR="0063382E" w:rsidRPr="0063382E" w:rsidRDefault="0063382E" w:rsidP="0063382E">
      <w:pPr>
        <w:pStyle w:val="a3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63382E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Асоциацията отбелязва също, че в момента представителите на оранжерийният сектор не могат да прогнозират ръст на приходите. Повече от 62% от анкетираните поставят като приоритетна задача да минимизират загубите в производството.</w:t>
      </w:r>
    </w:p>
    <w:p w:rsidR="0063382E" w:rsidRPr="0063382E" w:rsidRDefault="0063382E" w:rsidP="0063382E">
      <w:pPr>
        <w:pStyle w:val="a3"/>
        <w:rPr>
          <w:rStyle w:val="a5"/>
          <w:rFonts w:ascii="Verdana" w:hAnsi="Verdana"/>
          <w:b/>
          <w:color w:val="auto"/>
          <w:sz w:val="20"/>
          <w:szCs w:val="20"/>
          <w:u w:val="none"/>
          <w:lang w:val="bg-BG"/>
        </w:rPr>
      </w:pPr>
    </w:p>
    <w:p w:rsidR="0063382E" w:rsidRPr="0063382E" w:rsidRDefault="0063382E" w:rsidP="0063382E">
      <w:pPr>
        <w:pStyle w:val="a3"/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</w:pPr>
    </w:p>
    <w:p w:rsidR="0063382E" w:rsidRPr="0063382E" w:rsidRDefault="0063382E" w:rsidP="0063382E">
      <w:pPr>
        <w:pStyle w:val="a3"/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</w:pPr>
      <w:r w:rsidRPr="0063382E"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  <w:t>Как се променят приходите на предприятията по време на пандемията.</w:t>
      </w:r>
    </w:p>
    <w:p w:rsidR="0063382E" w:rsidRPr="0063382E" w:rsidRDefault="0063382E" w:rsidP="0063382E">
      <w:pPr>
        <w:pStyle w:val="a3"/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</w:pPr>
    </w:p>
    <w:p w:rsidR="0063382E" w:rsidRPr="0063382E" w:rsidRDefault="0063382E" w:rsidP="0063382E">
      <w:pPr>
        <w:pStyle w:val="a3"/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</w:pPr>
      <w:r w:rsidRPr="0063382E">
        <w:rPr>
          <w:i/>
          <w:noProof/>
          <w:sz w:val="18"/>
          <w:szCs w:val="18"/>
          <w:lang w:eastAsia="ru-RU"/>
        </w:rPr>
        <w:lastRenderedPageBreak/>
        <w:drawing>
          <wp:inline distT="0" distB="0" distL="0" distR="0" wp14:anchorId="4F93DC7D" wp14:editId="767E7C27">
            <wp:extent cx="4838700" cy="268605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3382E" w:rsidRPr="0063382E" w:rsidRDefault="0063382E" w:rsidP="0063382E">
      <w:pPr>
        <w:pStyle w:val="a3"/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</w:pPr>
    </w:p>
    <w:p w:rsidR="0063382E" w:rsidRPr="0063382E" w:rsidRDefault="0063382E" w:rsidP="0063382E">
      <w:pPr>
        <w:pStyle w:val="a3"/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</w:pPr>
    </w:p>
    <w:p w:rsidR="0063382E" w:rsidRPr="0063382E" w:rsidRDefault="0063382E" w:rsidP="0063382E">
      <w:pPr>
        <w:pStyle w:val="a3"/>
        <w:rPr>
          <w:rStyle w:val="a5"/>
          <w:rFonts w:ascii="Verdana" w:hAnsi="Verdana"/>
          <w:b/>
          <w:color w:val="auto"/>
          <w:sz w:val="20"/>
          <w:szCs w:val="20"/>
          <w:u w:val="none"/>
          <w:lang w:val="bg-BG"/>
        </w:rPr>
      </w:pPr>
    </w:p>
    <w:p w:rsidR="0063382E" w:rsidRPr="0063382E" w:rsidRDefault="0063382E" w:rsidP="0063382E">
      <w:pPr>
        <w:pStyle w:val="a3"/>
        <w:rPr>
          <w:rStyle w:val="a5"/>
          <w:rFonts w:ascii="Verdana" w:hAnsi="Verdana"/>
          <w:b/>
          <w:color w:val="auto"/>
          <w:sz w:val="20"/>
          <w:szCs w:val="20"/>
          <w:u w:val="none"/>
          <w:lang w:val="bg-BG"/>
        </w:rPr>
      </w:pPr>
    </w:p>
    <w:p w:rsidR="0063382E" w:rsidRPr="0063382E" w:rsidRDefault="0063382E" w:rsidP="0063382E">
      <w:pPr>
        <w:pStyle w:val="a3"/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</w:pPr>
    </w:p>
    <w:p w:rsidR="0063382E" w:rsidRPr="0063382E" w:rsidRDefault="0063382E" w:rsidP="0063382E">
      <w:pPr>
        <w:pStyle w:val="a3"/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</w:pPr>
      <w:r w:rsidRPr="0063382E"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  <w:t>Основните проблеми на оранжерийният сектор по време на пандемията.</w:t>
      </w:r>
    </w:p>
    <w:p w:rsidR="0063382E" w:rsidRPr="0063382E" w:rsidRDefault="0063382E" w:rsidP="0063382E">
      <w:pPr>
        <w:pStyle w:val="a3"/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</w:pPr>
    </w:p>
    <w:p w:rsidR="0063382E" w:rsidRPr="0063382E" w:rsidRDefault="0063382E" w:rsidP="0063382E">
      <w:pPr>
        <w:pStyle w:val="a3"/>
        <w:rPr>
          <w:rStyle w:val="a5"/>
          <w:rFonts w:ascii="Verdana" w:hAnsi="Verdana"/>
          <w:b/>
          <w:color w:val="auto"/>
          <w:sz w:val="18"/>
          <w:szCs w:val="18"/>
          <w:u w:val="none"/>
          <w:lang w:val="bg-BG"/>
        </w:rPr>
      </w:pPr>
      <w:r w:rsidRPr="0063382E"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w:drawing>
          <wp:inline distT="0" distB="0" distL="0" distR="0" wp14:anchorId="6D6DCEB7" wp14:editId="28A0278F">
            <wp:extent cx="4622800" cy="2317750"/>
            <wp:effectExtent l="0" t="0" r="6350" b="63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3382E" w:rsidRPr="0063382E" w:rsidRDefault="0063382E" w:rsidP="0063382E">
      <w:pPr>
        <w:pStyle w:val="a3"/>
        <w:rPr>
          <w:rStyle w:val="a5"/>
          <w:rFonts w:ascii="Verdana" w:hAnsi="Verdana"/>
          <w:b/>
          <w:color w:val="auto"/>
          <w:sz w:val="20"/>
          <w:szCs w:val="20"/>
          <w:u w:val="none"/>
          <w:lang w:val="bg-BG"/>
        </w:rPr>
      </w:pPr>
    </w:p>
    <w:p w:rsidR="0063382E" w:rsidRPr="0063382E" w:rsidRDefault="0063382E" w:rsidP="0063382E">
      <w:pPr>
        <w:pStyle w:val="a3"/>
        <w:rPr>
          <w:rStyle w:val="a5"/>
          <w:rFonts w:ascii="Verdana" w:hAnsi="Verdana"/>
          <w:i/>
          <w:color w:val="auto"/>
          <w:sz w:val="20"/>
          <w:szCs w:val="20"/>
          <w:u w:val="none"/>
          <w:lang w:val="bg-BG"/>
        </w:rPr>
      </w:pPr>
      <w:r w:rsidRPr="0063382E">
        <w:rPr>
          <w:rStyle w:val="a5"/>
          <w:rFonts w:ascii="Verdana" w:hAnsi="Verdana"/>
          <w:i/>
          <w:color w:val="auto"/>
          <w:sz w:val="20"/>
          <w:szCs w:val="20"/>
          <w:u w:val="none"/>
          <w:lang w:val="bg-BG"/>
        </w:rPr>
        <w:t>Асоциацията „Оранжерии на Русия“ е сдружение с нестопанска цел на оранжерийните стопанства и предприятия от свързани индустрии. Асоциацията включва 242 предприятия, включително 127 оранжерийни ферми. Основните дейности на Асоциацията са: представяне и защита на интересите на оранжерийните предприятия в държавните органи и ведомства на Руската федерация, изучаване и прилагане на постиженията на научно-техническия прогрес в оранжерийните предприятията; международно сътрудничество в областта на защитената почва.</w:t>
      </w:r>
    </w:p>
    <w:p w:rsidR="0063382E" w:rsidRPr="0063382E" w:rsidRDefault="0063382E" w:rsidP="0063382E">
      <w:pPr>
        <w:pStyle w:val="a3"/>
        <w:rPr>
          <w:rStyle w:val="a5"/>
          <w:rFonts w:ascii="Verdana" w:hAnsi="Verdana"/>
          <w:i/>
          <w:color w:val="auto"/>
          <w:sz w:val="20"/>
          <w:szCs w:val="20"/>
          <w:u w:val="none"/>
          <w:lang w:val="bg-BG"/>
        </w:rPr>
      </w:pPr>
    </w:p>
    <w:p w:rsidR="0063382E" w:rsidRPr="0063382E" w:rsidRDefault="0063382E" w:rsidP="0063382E">
      <w:pPr>
        <w:pStyle w:val="a3"/>
        <w:rPr>
          <w:rStyle w:val="a5"/>
          <w:rFonts w:ascii="Verdana" w:hAnsi="Verdana"/>
          <w:i/>
          <w:color w:val="auto"/>
          <w:sz w:val="20"/>
          <w:szCs w:val="20"/>
          <w:u w:val="none"/>
          <w:lang w:val="bg-BG"/>
        </w:rPr>
      </w:pPr>
      <w:hyperlink r:id="rId8" w:history="1">
        <w:r w:rsidRPr="0063382E">
          <w:rPr>
            <w:rStyle w:val="a5"/>
            <w:rFonts w:ascii="Verdana" w:hAnsi="Verdana"/>
            <w:i/>
            <w:color w:val="auto"/>
            <w:sz w:val="20"/>
            <w:szCs w:val="20"/>
            <w:u w:val="none"/>
            <w:lang w:val="bg-BG"/>
          </w:rPr>
          <w:t>https://www.agroxxi.ru/</w:t>
        </w:r>
      </w:hyperlink>
      <w:r w:rsidRPr="0063382E">
        <w:rPr>
          <w:rStyle w:val="a5"/>
          <w:rFonts w:ascii="Verdana" w:hAnsi="Verdana"/>
          <w:i/>
          <w:color w:val="auto"/>
          <w:sz w:val="20"/>
          <w:szCs w:val="20"/>
          <w:u w:val="none"/>
          <w:lang w:val="bg-BG"/>
        </w:rPr>
        <w:t xml:space="preserve">  </w:t>
      </w:r>
    </w:p>
    <w:p w:rsidR="007A2FD2" w:rsidRPr="0063382E" w:rsidRDefault="007A2FD2" w:rsidP="0063382E">
      <w:pPr>
        <w:pStyle w:val="a3"/>
      </w:pPr>
    </w:p>
    <w:sectPr w:rsidR="007A2FD2" w:rsidRPr="0063382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38"/>
    <w:rsid w:val="0063382E"/>
    <w:rsid w:val="007A2FD2"/>
    <w:rsid w:val="00B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382E"/>
    <w:pPr>
      <w:spacing w:after="0" w:line="240" w:lineRule="auto"/>
    </w:pPr>
    <w:rPr>
      <w:lang w:val="ru-RU"/>
    </w:rPr>
  </w:style>
  <w:style w:type="character" w:styleId="a5">
    <w:name w:val="Hyperlink"/>
    <w:basedOn w:val="a0"/>
    <w:uiPriority w:val="99"/>
    <w:unhideWhenUsed/>
    <w:rsid w:val="0063382E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3382E"/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3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3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382E"/>
    <w:pPr>
      <w:spacing w:after="0" w:line="240" w:lineRule="auto"/>
    </w:pPr>
    <w:rPr>
      <w:lang w:val="ru-RU"/>
    </w:rPr>
  </w:style>
  <w:style w:type="character" w:styleId="a5">
    <w:name w:val="Hyperlink"/>
    <w:basedOn w:val="a0"/>
    <w:uiPriority w:val="99"/>
    <w:unhideWhenUsed/>
    <w:rsid w:val="0063382E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3382E"/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3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3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roxxi.ru/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2.1254469175605011E-2"/>
          <c:y val="0.10615066733679566"/>
          <c:w val="0.42212701758736848"/>
          <c:h val="0.7604273933843376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3654035433070869E-2"/>
                  <c:y val="-0.214883452068491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2436205890930305E-4"/>
                  <c:y val="-2.22990876140482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намаляли са с повече от 50%</c:v>
                </c:pt>
                <c:pt idx="1">
                  <c:v>намаляли са с повече от 25%</c:v>
                </c:pt>
                <c:pt idx="2">
                  <c:v>увеличили са се на повече от 25%</c:v>
                </c:pt>
                <c:pt idx="3">
                  <c:v>увеличили са се с повече от 50%</c:v>
                </c:pt>
                <c:pt idx="4">
                  <c:v>останали са непроменени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0.13</c:v>
                </c:pt>
                <c:pt idx="1">
                  <c:v>0.83</c:v>
                </c:pt>
                <c:pt idx="2">
                  <c:v>0</c:v>
                </c:pt>
                <c:pt idx="3">
                  <c:v>0</c:v>
                </c:pt>
                <c:pt idx="4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48355442548848054"/>
          <c:y val="8.5656480439945032E-2"/>
          <c:w val="0.40603550540434419"/>
          <c:h val="0.7131401128050483"/>
        </c:manualLayout>
      </c:layout>
      <c:overlay val="0"/>
    </c:legend>
    <c:plotVisOnly val="1"/>
    <c:dispBlanksAs val="gap"/>
    <c:showDLblsOverMax val="0"/>
  </c:chart>
  <c:spPr>
    <a:solidFill>
      <a:schemeClr val="tx2">
        <a:lumMod val="20000"/>
        <a:lumOff val="80000"/>
      </a:schemeClr>
    </a:solidFill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Отсъствие на допълнителна държавна подръжка</c:v>
                </c:pt>
                <c:pt idx="1">
                  <c:v>Ръст на тарифите на електроенергията</c:v>
                </c:pt>
                <c:pt idx="2">
                  <c:v>Разходи за съблюдение на санитарни правила и норми</c:v>
                </c:pt>
                <c:pt idx="3">
                  <c:v>Спад на изкупните цени на продукцията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0.67</c:v>
                </c:pt>
                <c:pt idx="1">
                  <c:v>0.52</c:v>
                </c:pt>
                <c:pt idx="2">
                  <c:v>0.17</c:v>
                </c:pt>
                <c:pt idx="3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609920"/>
        <c:axId val="236611456"/>
      </c:barChart>
      <c:catAx>
        <c:axId val="2366099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ru-RU"/>
          </a:p>
        </c:txPr>
        <c:crossAx val="236611456"/>
        <c:crosses val="autoZero"/>
        <c:auto val="1"/>
        <c:lblAlgn val="ctr"/>
        <c:lblOffset val="100"/>
        <c:noMultiLvlLbl val="0"/>
      </c:catAx>
      <c:valAx>
        <c:axId val="2366114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36609920"/>
        <c:crosses val="autoZero"/>
        <c:crossBetween val="between"/>
      </c:valAx>
      <c:spPr>
        <a:solidFill>
          <a:schemeClr val="tx2">
            <a:lumMod val="20000"/>
            <a:lumOff val="80000"/>
          </a:schemeClr>
        </a:solidFill>
        <a:ln>
          <a:noFill/>
        </a:ln>
      </c:spPr>
    </c:plotArea>
    <c:plotVisOnly val="1"/>
    <c:dispBlanksAs val="gap"/>
    <c:showDLblsOverMax val="0"/>
  </c:chart>
  <c:spPr>
    <a:solidFill>
      <a:schemeClr val="tx2">
        <a:lumMod val="20000"/>
        <a:lumOff val="80000"/>
      </a:schemeClr>
    </a:solidFill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2020-07-09T16:30:00Z</dcterms:created>
  <dcterms:modified xsi:type="dcterms:W3CDTF">2020-07-09T16:31:00Z</dcterms:modified>
</cp:coreProperties>
</file>