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2D8" w:rsidRPr="00B852D8" w:rsidRDefault="00B852D8" w:rsidP="00B852D8">
      <w:pPr>
        <w:pStyle w:val="a3"/>
        <w:spacing w:line="276" w:lineRule="auto"/>
        <w:jc w:val="center"/>
        <w:rPr>
          <w:rStyle w:val="a5"/>
          <w:rFonts w:ascii="Verdana" w:hAnsi="Verdana"/>
          <w:b/>
          <w:color w:val="auto"/>
          <w:sz w:val="20"/>
          <w:szCs w:val="20"/>
          <w:u w:val="none"/>
          <w:lang w:val="bg-BG"/>
        </w:rPr>
      </w:pPr>
      <w:bookmarkStart w:id="0" w:name="_GoBack"/>
      <w:r w:rsidRPr="00B852D8">
        <w:rPr>
          <w:noProof/>
          <w:lang w:eastAsia="ru-RU"/>
        </w:rPr>
        <w:drawing>
          <wp:anchor distT="0" distB="0" distL="114300" distR="114300" simplePos="0" relativeHeight="251659264" behindDoc="0" locked="0" layoutInCell="1" allowOverlap="1" wp14:anchorId="659D9C4B" wp14:editId="6A81CAF3">
            <wp:simplePos x="0" y="0"/>
            <wp:positionH relativeFrom="column">
              <wp:posOffset>-635</wp:posOffset>
            </wp:positionH>
            <wp:positionV relativeFrom="paragraph">
              <wp:posOffset>6985</wp:posOffset>
            </wp:positionV>
            <wp:extent cx="2749550" cy="1754505"/>
            <wp:effectExtent l="0" t="0" r="0" b="0"/>
            <wp:wrapSquare wrapText="bothSides"/>
            <wp:docPr id="10" name="Рисунок 10" descr="Ученые: Соки из фруктов и овощей полезны для мозга | КТ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ченые: Соки из фруктов и овощей полезны для мозга | КТК"/>
                    <pic:cNvPicPr>
                      <a:picLocks noChangeAspect="1" noChangeArrowheads="1"/>
                    </pic:cNvPicPr>
                  </pic:nvPicPr>
                  <pic:blipFill>
                    <a:blip r:embed="rId5" cstate="print">
                      <a:extLst>
                        <a:ext uri="{BEBA8EAE-BF5A-486C-A8C5-ECC9F3942E4B}">
                          <a14:imgProps xmlns:a14="http://schemas.microsoft.com/office/drawing/2010/main">
                            <a14:imgLayer r:embed="rId6">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2749550" cy="1754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52D8">
        <w:rPr>
          <w:rStyle w:val="a5"/>
          <w:rFonts w:ascii="Verdana" w:hAnsi="Verdana"/>
          <w:b/>
          <w:color w:val="auto"/>
          <w:sz w:val="20"/>
          <w:szCs w:val="20"/>
          <w:u w:val="none"/>
          <w:lang w:val="bg-BG"/>
        </w:rPr>
        <w:t>ПАЗАРЪТ НА СОКОВЕ В РУСИЯ</w:t>
      </w:r>
    </w:p>
    <w:p w:rsidR="00B852D8" w:rsidRPr="00B852D8" w:rsidRDefault="00B852D8" w:rsidP="00B852D8">
      <w:pPr>
        <w:pStyle w:val="a3"/>
        <w:spacing w:line="276" w:lineRule="auto"/>
        <w:jc w:val="center"/>
        <w:rPr>
          <w:rStyle w:val="a5"/>
          <w:rFonts w:ascii="Verdana" w:hAnsi="Verdana"/>
          <w:b/>
          <w:color w:val="auto"/>
          <w:sz w:val="20"/>
          <w:szCs w:val="20"/>
          <w:u w:val="none"/>
          <w:lang w:val="bg-BG"/>
        </w:rPr>
      </w:pPr>
    </w:p>
    <w:p w:rsidR="00B852D8" w:rsidRPr="00B852D8" w:rsidRDefault="00B852D8" w:rsidP="00B852D8">
      <w:pPr>
        <w:pStyle w:val="a3"/>
        <w:spacing w:line="276" w:lineRule="auto"/>
        <w:ind w:firstLine="708"/>
        <w:jc w:val="both"/>
        <w:rPr>
          <w:rStyle w:val="a5"/>
          <w:rFonts w:ascii="Verdana" w:hAnsi="Verdana"/>
          <w:color w:val="auto"/>
          <w:sz w:val="20"/>
          <w:szCs w:val="20"/>
          <w:u w:val="none"/>
          <w:lang w:val="bg-BG"/>
        </w:rPr>
      </w:pPr>
      <w:r w:rsidRPr="00B852D8">
        <w:rPr>
          <w:rStyle w:val="a5"/>
          <w:rFonts w:ascii="Verdana" w:hAnsi="Verdana"/>
          <w:color w:val="auto"/>
          <w:sz w:val="20"/>
          <w:szCs w:val="20"/>
          <w:u w:val="none"/>
          <w:lang w:val="bg-BG"/>
        </w:rPr>
        <w:t>Промишленото производство на сокове в Русия има вековна история и още преди 80 години се появява първият официален документ, в който са посочени основните изисквания за производството на сокови продукти.</w:t>
      </w:r>
    </w:p>
    <w:p w:rsidR="00B852D8" w:rsidRPr="00B852D8" w:rsidRDefault="00B852D8" w:rsidP="00B852D8">
      <w:pPr>
        <w:pStyle w:val="a3"/>
        <w:spacing w:line="276" w:lineRule="auto"/>
        <w:ind w:firstLine="708"/>
        <w:jc w:val="both"/>
        <w:rPr>
          <w:rStyle w:val="a5"/>
          <w:rFonts w:ascii="Verdana" w:hAnsi="Verdana"/>
          <w:color w:val="auto"/>
          <w:sz w:val="20"/>
          <w:szCs w:val="20"/>
          <w:u w:val="none"/>
          <w:lang w:val="bg-BG"/>
        </w:rPr>
      </w:pPr>
      <w:r w:rsidRPr="00B852D8">
        <w:rPr>
          <w:rStyle w:val="a5"/>
          <w:rFonts w:ascii="Verdana" w:hAnsi="Verdana"/>
          <w:color w:val="auto"/>
          <w:sz w:val="20"/>
          <w:szCs w:val="20"/>
          <w:u w:val="none"/>
          <w:lang w:val="bg-BG"/>
        </w:rPr>
        <w:t>В резултат на многогодишното усъвършенстване на технологиите днес при производството на сокове се запазват хранителните вещества и витамините на суровините. Например, чаша ябълков сок съдържа калий, мед, хром и повече от 100% от дневната потребност от хлорогенни киселини - антиоксиданти, които защитават човешкото тяло от неблагоприятните въздействия на околната среда.</w:t>
      </w:r>
    </w:p>
    <w:p w:rsidR="00B852D8" w:rsidRPr="00B852D8" w:rsidRDefault="00B852D8" w:rsidP="00B852D8">
      <w:pPr>
        <w:pStyle w:val="a3"/>
        <w:spacing w:line="276" w:lineRule="auto"/>
        <w:ind w:firstLine="708"/>
        <w:jc w:val="both"/>
        <w:rPr>
          <w:rStyle w:val="a5"/>
          <w:rFonts w:ascii="Verdana" w:hAnsi="Verdana"/>
          <w:color w:val="auto"/>
          <w:sz w:val="20"/>
          <w:szCs w:val="20"/>
          <w:u w:val="none"/>
          <w:lang w:val="bg-BG"/>
        </w:rPr>
      </w:pPr>
      <w:r w:rsidRPr="00B852D8">
        <w:rPr>
          <w:rStyle w:val="a5"/>
          <w:rFonts w:ascii="Verdana" w:hAnsi="Verdana"/>
          <w:color w:val="auto"/>
          <w:sz w:val="20"/>
          <w:szCs w:val="20"/>
          <w:u w:val="none"/>
          <w:lang w:val="bg-BG"/>
        </w:rPr>
        <w:t>Безспорните ползи от соковете и приятният им вкус допринасят за ръста на тяхната популярност. Трябва да се отбележи, че асортиментът представен на пазара, се увеличава с всяка година - сокове се появяват не само от плодове и зеленчуци, но и от листата или корените на растенията (например сок от джинджифил, от целина). Според данните от мониторинга, на руския пазар има повече от 2300 различни наименования на сокове.</w:t>
      </w:r>
    </w:p>
    <w:p w:rsidR="00B852D8" w:rsidRPr="00B852D8" w:rsidRDefault="00B852D8" w:rsidP="00B852D8">
      <w:pPr>
        <w:pStyle w:val="a3"/>
        <w:spacing w:line="276" w:lineRule="auto"/>
        <w:ind w:firstLine="708"/>
        <w:jc w:val="both"/>
        <w:rPr>
          <w:rStyle w:val="a5"/>
          <w:rFonts w:ascii="Verdana" w:hAnsi="Verdana"/>
          <w:color w:val="auto"/>
          <w:sz w:val="20"/>
          <w:szCs w:val="20"/>
          <w:u w:val="none"/>
          <w:lang w:val="bg-BG"/>
        </w:rPr>
      </w:pPr>
      <w:r w:rsidRPr="00B852D8">
        <w:rPr>
          <w:rStyle w:val="a5"/>
          <w:rFonts w:ascii="Verdana" w:hAnsi="Verdana"/>
          <w:color w:val="auto"/>
          <w:sz w:val="20"/>
          <w:szCs w:val="20"/>
          <w:u w:val="none"/>
          <w:lang w:val="bg-BG"/>
        </w:rPr>
        <w:t>Според Росстат, основните количества сокове, които се произвеждат в Русия са ябълковите сокове и смеси от плодови сокове - 29,4% за всяка категория. Трето по популярност място заема доматеният сок с обем от 15,5%, на соковете от плодове и зеленчуци се падат 13,8%. Основно тези вкусови предпочитания на руснаците се дължат на факта, че съответните плодове се отглеждат на територията на Русия.</w:t>
      </w:r>
    </w:p>
    <w:p w:rsidR="00B852D8" w:rsidRPr="00B852D8" w:rsidRDefault="00B852D8" w:rsidP="00B852D8">
      <w:pPr>
        <w:pStyle w:val="a3"/>
        <w:spacing w:line="276" w:lineRule="auto"/>
        <w:ind w:firstLine="708"/>
        <w:jc w:val="both"/>
        <w:rPr>
          <w:rStyle w:val="a5"/>
          <w:rFonts w:ascii="Verdana" w:hAnsi="Verdana"/>
          <w:color w:val="auto"/>
          <w:sz w:val="20"/>
          <w:szCs w:val="20"/>
          <w:u w:val="none"/>
          <w:lang w:val="bg-BG"/>
        </w:rPr>
      </w:pPr>
    </w:p>
    <w:p w:rsidR="00B852D8" w:rsidRPr="00B852D8" w:rsidRDefault="00B852D8" w:rsidP="00B852D8">
      <w:pPr>
        <w:pStyle w:val="a3"/>
        <w:spacing w:line="276" w:lineRule="auto"/>
        <w:ind w:firstLine="708"/>
        <w:jc w:val="center"/>
        <w:rPr>
          <w:rStyle w:val="a5"/>
          <w:rFonts w:ascii="Verdana" w:hAnsi="Verdana"/>
          <w:b/>
          <w:i/>
          <w:color w:val="auto"/>
          <w:sz w:val="18"/>
          <w:szCs w:val="18"/>
          <w:u w:val="none"/>
          <w:lang w:val="bg-BG"/>
        </w:rPr>
      </w:pPr>
      <w:r w:rsidRPr="00B852D8">
        <w:rPr>
          <w:rStyle w:val="a5"/>
          <w:rFonts w:ascii="Verdana" w:hAnsi="Verdana"/>
          <w:b/>
          <w:i/>
          <w:color w:val="auto"/>
          <w:sz w:val="18"/>
          <w:szCs w:val="18"/>
          <w:u w:val="none"/>
          <w:lang w:val="bg-BG"/>
        </w:rPr>
        <w:t>Структура на руския пазар на сокове по вкусове, януари-март 2020 г., %</w:t>
      </w:r>
    </w:p>
    <w:p w:rsidR="00B852D8" w:rsidRPr="00B852D8" w:rsidRDefault="00B852D8" w:rsidP="00B852D8">
      <w:pPr>
        <w:pStyle w:val="a3"/>
        <w:spacing w:line="276" w:lineRule="auto"/>
        <w:ind w:firstLine="708"/>
        <w:jc w:val="center"/>
        <w:rPr>
          <w:rStyle w:val="a5"/>
          <w:rFonts w:ascii="Verdana" w:hAnsi="Verdana"/>
          <w:b/>
          <w:i/>
          <w:color w:val="auto"/>
          <w:sz w:val="18"/>
          <w:szCs w:val="18"/>
          <w:u w:val="none"/>
          <w:lang w:val="bg-BG"/>
        </w:rPr>
      </w:pPr>
      <w:r w:rsidRPr="00B852D8">
        <w:rPr>
          <w:rFonts w:ascii="Verdana" w:hAnsi="Verdana"/>
          <w:b/>
          <w:i/>
          <w:noProof/>
          <w:sz w:val="18"/>
          <w:szCs w:val="18"/>
          <w:lang w:eastAsia="ru-RU"/>
        </w:rPr>
        <w:drawing>
          <wp:inline distT="0" distB="0" distL="0" distR="0" wp14:anchorId="00EB932F" wp14:editId="687A131E">
            <wp:extent cx="5924550" cy="30099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852D8" w:rsidRPr="00B852D8" w:rsidRDefault="00B852D8" w:rsidP="00B852D8">
      <w:pPr>
        <w:pStyle w:val="a3"/>
        <w:spacing w:line="276" w:lineRule="auto"/>
        <w:ind w:firstLine="708"/>
        <w:rPr>
          <w:rStyle w:val="a5"/>
          <w:rFonts w:ascii="Verdana" w:hAnsi="Verdana"/>
          <w:b/>
          <w:i/>
          <w:color w:val="auto"/>
          <w:sz w:val="18"/>
          <w:szCs w:val="18"/>
          <w:u w:val="none"/>
        </w:rPr>
      </w:pPr>
      <w:r w:rsidRPr="00B852D8">
        <w:rPr>
          <w:rStyle w:val="a5"/>
          <w:rFonts w:ascii="Verdana" w:hAnsi="Verdana"/>
          <w:b/>
          <w:i/>
          <w:color w:val="auto"/>
          <w:sz w:val="18"/>
          <w:szCs w:val="18"/>
          <w:u w:val="none"/>
          <w:lang w:val="bg-BG"/>
        </w:rPr>
        <w:t xml:space="preserve">Източник: </w:t>
      </w:r>
      <w:r w:rsidRPr="00B852D8">
        <w:rPr>
          <w:rStyle w:val="a5"/>
          <w:rFonts w:ascii="Verdana" w:hAnsi="Verdana"/>
          <w:i/>
          <w:color w:val="auto"/>
          <w:sz w:val="18"/>
          <w:szCs w:val="18"/>
          <w:u w:val="none"/>
          <w:lang w:val="en-US"/>
        </w:rPr>
        <w:t>Step</w:t>
      </w:r>
      <w:r w:rsidRPr="00B852D8">
        <w:rPr>
          <w:rStyle w:val="a5"/>
          <w:rFonts w:ascii="Verdana" w:hAnsi="Verdana"/>
          <w:i/>
          <w:color w:val="auto"/>
          <w:sz w:val="18"/>
          <w:szCs w:val="18"/>
          <w:u w:val="none"/>
        </w:rPr>
        <w:t xml:space="preserve"> </w:t>
      </w:r>
      <w:r w:rsidRPr="00B852D8">
        <w:rPr>
          <w:rStyle w:val="a5"/>
          <w:rFonts w:ascii="Verdana" w:hAnsi="Verdana"/>
          <w:i/>
          <w:color w:val="auto"/>
          <w:sz w:val="18"/>
          <w:szCs w:val="18"/>
          <w:u w:val="none"/>
          <w:lang w:val="en-US"/>
        </w:rPr>
        <w:t>by</w:t>
      </w:r>
      <w:r w:rsidRPr="00B852D8">
        <w:rPr>
          <w:rStyle w:val="a5"/>
          <w:rFonts w:ascii="Verdana" w:hAnsi="Verdana"/>
          <w:i/>
          <w:color w:val="auto"/>
          <w:sz w:val="18"/>
          <w:szCs w:val="18"/>
          <w:u w:val="none"/>
        </w:rPr>
        <w:t xml:space="preserve"> </w:t>
      </w:r>
      <w:r w:rsidRPr="00B852D8">
        <w:rPr>
          <w:rStyle w:val="a5"/>
          <w:rFonts w:ascii="Verdana" w:hAnsi="Verdana"/>
          <w:i/>
          <w:color w:val="auto"/>
          <w:sz w:val="18"/>
          <w:szCs w:val="18"/>
          <w:u w:val="none"/>
          <w:lang w:val="en-US"/>
        </w:rPr>
        <w:t>Step</w:t>
      </w:r>
    </w:p>
    <w:p w:rsidR="00B852D8" w:rsidRPr="00B852D8" w:rsidRDefault="00B852D8" w:rsidP="00B852D8">
      <w:pPr>
        <w:pStyle w:val="a3"/>
        <w:spacing w:line="276" w:lineRule="auto"/>
        <w:ind w:firstLine="708"/>
        <w:jc w:val="both"/>
        <w:rPr>
          <w:rStyle w:val="a5"/>
          <w:rFonts w:ascii="Verdana" w:hAnsi="Verdana"/>
          <w:color w:val="auto"/>
          <w:sz w:val="20"/>
          <w:szCs w:val="20"/>
          <w:u w:val="none"/>
          <w:lang w:val="bg-BG"/>
        </w:rPr>
      </w:pPr>
    </w:p>
    <w:p w:rsidR="00B852D8" w:rsidRPr="00B852D8" w:rsidRDefault="00B852D8" w:rsidP="00B852D8">
      <w:pPr>
        <w:pStyle w:val="a3"/>
        <w:spacing w:line="276" w:lineRule="auto"/>
        <w:ind w:firstLine="708"/>
        <w:jc w:val="both"/>
        <w:rPr>
          <w:rStyle w:val="a5"/>
          <w:rFonts w:ascii="Verdana" w:hAnsi="Verdana"/>
          <w:color w:val="auto"/>
          <w:sz w:val="20"/>
          <w:szCs w:val="20"/>
          <w:u w:val="none"/>
          <w:lang w:val="bg-BG"/>
        </w:rPr>
      </w:pPr>
      <w:r w:rsidRPr="00B852D8">
        <w:rPr>
          <w:rStyle w:val="a5"/>
          <w:rFonts w:ascii="Verdana" w:hAnsi="Verdana"/>
          <w:color w:val="auto"/>
          <w:sz w:val="20"/>
          <w:szCs w:val="20"/>
          <w:u w:val="none"/>
          <w:lang w:val="bg-BG"/>
        </w:rPr>
        <w:t>Желаейки да привлекат широк кръг купувачи, производителите експериментират с вкусове, предлагайки нови продукти на пазара; все повече по рафтовете на магазините се появяват свежо изцедени сокове, имащи репутация на натурални и екологични.</w:t>
      </w:r>
    </w:p>
    <w:p w:rsidR="00B852D8" w:rsidRPr="00B852D8" w:rsidRDefault="00B852D8" w:rsidP="00B852D8">
      <w:pPr>
        <w:pStyle w:val="a3"/>
        <w:spacing w:line="276" w:lineRule="auto"/>
        <w:ind w:firstLine="708"/>
        <w:jc w:val="both"/>
        <w:rPr>
          <w:rStyle w:val="a5"/>
          <w:rFonts w:ascii="Verdana" w:hAnsi="Verdana"/>
          <w:color w:val="auto"/>
          <w:sz w:val="20"/>
          <w:szCs w:val="20"/>
          <w:u w:val="none"/>
          <w:lang w:val="bg-BG"/>
        </w:rPr>
      </w:pPr>
      <w:r w:rsidRPr="00B852D8">
        <w:rPr>
          <w:rStyle w:val="a5"/>
          <w:rFonts w:ascii="Verdana" w:hAnsi="Verdana"/>
          <w:color w:val="auto"/>
          <w:sz w:val="20"/>
          <w:szCs w:val="20"/>
          <w:u w:val="none"/>
          <w:lang w:val="bg-BG"/>
        </w:rPr>
        <w:lastRenderedPageBreak/>
        <w:t>През 2019 г. в Русия са произведени 1 107 573 хил. условни кутии сок, през 2020 г. от януари до март са произведени 220 747 хил. условни кутии. Но всяка прогноза, използваща математическа статистика днес ще е недостоверна, тъй като процесите бяха нарушени поради пандемията и не е възможно да се предвиди до колко производството е пострадало.</w:t>
      </w:r>
    </w:p>
    <w:p w:rsidR="00B852D8" w:rsidRPr="00B852D8" w:rsidRDefault="00B852D8" w:rsidP="00B852D8">
      <w:pPr>
        <w:pStyle w:val="a3"/>
        <w:spacing w:line="276" w:lineRule="auto"/>
        <w:ind w:firstLine="708"/>
        <w:jc w:val="both"/>
        <w:rPr>
          <w:rStyle w:val="a5"/>
          <w:rFonts w:ascii="Verdana" w:hAnsi="Verdana"/>
          <w:color w:val="auto"/>
          <w:sz w:val="20"/>
          <w:szCs w:val="20"/>
          <w:u w:val="none"/>
        </w:rPr>
      </w:pPr>
      <w:r w:rsidRPr="00B852D8">
        <w:rPr>
          <w:rStyle w:val="a5"/>
          <w:rFonts w:ascii="Verdana" w:hAnsi="Verdana"/>
          <w:color w:val="auto"/>
          <w:sz w:val="20"/>
          <w:szCs w:val="20"/>
          <w:u w:val="none"/>
          <w:lang w:val="bg-BG"/>
        </w:rPr>
        <w:t>44,3% от всички видове сокове се произвеждат в Приволжски федерален окръг, следван от Южен федерален окръг - 30,8%</w:t>
      </w:r>
      <w:r w:rsidRPr="00B852D8">
        <w:rPr>
          <w:rStyle w:val="a5"/>
          <w:rFonts w:ascii="Verdana" w:hAnsi="Verdana"/>
          <w:color w:val="auto"/>
          <w:sz w:val="20"/>
          <w:szCs w:val="20"/>
          <w:u w:val="none"/>
        </w:rPr>
        <w:t>/</w:t>
      </w:r>
    </w:p>
    <w:p w:rsidR="00B852D8" w:rsidRPr="00B852D8" w:rsidRDefault="00B852D8" w:rsidP="00B852D8">
      <w:pPr>
        <w:pStyle w:val="a3"/>
        <w:spacing w:line="276" w:lineRule="auto"/>
        <w:ind w:firstLine="708"/>
        <w:jc w:val="both"/>
        <w:rPr>
          <w:rStyle w:val="a5"/>
          <w:rFonts w:ascii="Verdana" w:hAnsi="Verdana"/>
          <w:color w:val="auto"/>
          <w:sz w:val="20"/>
          <w:szCs w:val="20"/>
          <w:u w:val="none"/>
        </w:rPr>
      </w:pPr>
    </w:p>
    <w:p w:rsidR="00B852D8" w:rsidRPr="00B852D8" w:rsidRDefault="00B852D8" w:rsidP="00B852D8">
      <w:pPr>
        <w:pStyle w:val="a3"/>
        <w:spacing w:line="276" w:lineRule="auto"/>
        <w:ind w:firstLine="708"/>
        <w:jc w:val="center"/>
        <w:rPr>
          <w:rStyle w:val="a5"/>
          <w:rFonts w:ascii="Verdana" w:hAnsi="Verdana"/>
          <w:b/>
          <w:i/>
          <w:color w:val="auto"/>
          <w:sz w:val="18"/>
          <w:szCs w:val="18"/>
          <w:u w:val="none"/>
          <w:lang w:val="bg-BG"/>
        </w:rPr>
      </w:pPr>
      <w:r w:rsidRPr="00B852D8">
        <w:rPr>
          <w:rStyle w:val="a5"/>
          <w:rFonts w:ascii="Verdana" w:hAnsi="Verdana"/>
          <w:b/>
          <w:i/>
          <w:color w:val="auto"/>
          <w:sz w:val="18"/>
          <w:szCs w:val="18"/>
          <w:u w:val="none"/>
          <w:lang w:val="bg-BG"/>
        </w:rPr>
        <w:t>Производството на сокове в Русия през 2017 – март 2020 г. /хил условни кутии</w:t>
      </w:r>
    </w:p>
    <w:p w:rsidR="00B852D8" w:rsidRPr="00B852D8" w:rsidRDefault="00B852D8" w:rsidP="00B852D8">
      <w:pPr>
        <w:pStyle w:val="a3"/>
        <w:spacing w:line="276" w:lineRule="auto"/>
        <w:ind w:firstLine="708"/>
        <w:jc w:val="center"/>
        <w:rPr>
          <w:rStyle w:val="a5"/>
          <w:rFonts w:ascii="Verdana" w:hAnsi="Verdana"/>
          <w:b/>
          <w:i/>
          <w:color w:val="auto"/>
          <w:sz w:val="18"/>
          <w:szCs w:val="18"/>
          <w:u w:val="none"/>
          <w:lang w:val="bg-BG"/>
        </w:rPr>
      </w:pPr>
    </w:p>
    <w:p w:rsidR="00B852D8" w:rsidRPr="00B852D8" w:rsidRDefault="00B852D8" w:rsidP="00B852D8">
      <w:pPr>
        <w:pStyle w:val="a3"/>
        <w:spacing w:line="276" w:lineRule="auto"/>
        <w:ind w:firstLine="708"/>
        <w:jc w:val="center"/>
        <w:rPr>
          <w:rStyle w:val="a5"/>
          <w:rFonts w:ascii="Verdana" w:hAnsi="Verdana"/>
          <w:color w:val="auto"/>
          <w:sz w:val="20"/>
          <w:szCs w:val="20"/>
          <w:u w:val="none"/>
          <w:lang w:val="bg-BG"/>
        </w:rPr>
      </w:pPr>
      <w:r w:rsidRPr="00B852D8">
        <w:rPr>
          <w:rFonts w:ascii="Verdana" w:hAnsi="Verdana"/>
          <w:noProof/>
          <w:sz w:val="18"/>
          <w:szCs w:val="18"/>
          <w:lang w:eastAsia="ru-RU"/>
        </w:rPr>
        <w:drawing>
          <wp:inline distT="0" distB="0" distL="0" distR="0" wp14:anchorId="62DF7A1C" wp14:editId="325C7A56">
            <wp:extent cx="3759200" cy="200025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852D8" w:rsidRPr="00B852D8" w:rsidRDefault="00B852D8" w:rsidP="00B852D8">
      <w:pPr>
        <w:pStyle w:val="a3"/>
        <w:spacing w:line="276" w:lineRule="auto"/>
        <w:ind w:firstLine="708"/>
        <w:rPr>
          <w:rStyle w:val="a5"/>
          <w:rFonts w:ascii="Verdana" w:hAnsi="Verdana"/>
          <w:b/>
          <w:i/>
          <w:color w:val="auto"/>
          <w:sz w:val="18"/>
          <w:szCs w:val="18"/>
          <w:u w:val="none"/>
        </w:rPr>
      </w:pPr>
      <w:r w:rsidRPr="00B852D8">
        <w:rPr>
          <w:rStyle w:val="a5"/>
          <w:rFonts w:ascii="Verdana" w:hAnsi="Verdana"/>
          <w:b/>
          <w:i/>
          <w:color w:val="auto"/>
          <w:sz w:val="18"/>
          <w:szCs w:val="18"/>
          <w:u w:val="none"/>
          <w:lang w:val="bg-BG"/>
        </w:rPr>
        <w:t xml:space="preserve">Източник: </w:t>
      </w:r>
      <w:r w:rsidRPr="00B852D8">
        <w:rPr>
          <w:rStyle w:val="a5"/>
          <w:rFonts w:ascii="Verdana" w:hAnsi="Verdana"/>
          <w:i/>
          <w:color w:val="auto"/>
          <w:sz w:val="18"/>
          <w:szCs w:val="18"/>
          <w:u w:val="none"/>
          <w:lang w:val="en-US"/>
        </w:rPr>
        <w:t>Step</w:t>
      </w:r>
      <w:r w:rsidRPr="00B852D8">
        <w:rPr>
          <w:rStyle w:val="a5"/>
          <w:rFonts w:ascii="Verdana" w:hAnsi="Verdana"/>
          <w:i/>
          <w:color w:val="auto"/>
          <w:sz w:val="18"/>
          <w:szCs w:val="18"/>
          <w:u w:val="none"/>
        </w:rPr>
        <w:t xml:space="preserve"> </w:t>
      </w:r>
      <w:r w:rsidRPr="00B852D8">
        <w:rPr>
          <w:rStyle w:val="a5"/>
          <w:rFonts w:ascii="Verdana" w:hAnsi="Verdana"/>
          <w:i/>
          <w:color w:val="auto"/>
          <w:sz w:val="18"/>
          <w:szCs w:val="18"/>
          <w:u w:val="none"/>
          <w:lang w:val="en-US"/>
        </w:rPr>
        <w:t>by</w:t>
      </w:r>
      <w:r w:rsidRPr="00B852D8">
        <w:rPr>
          <w:rStyle w:val="a5"/>
          <w:rFonts w:ascii="Verdana" w:hAnsi="Verdana"/>
          <w:i/>
          <w:color w:val="auto"/>
          <w:sz w:val="18"/>
          <w:szCs w:val="18"/>
          <w:u w:val="none"/>
        </w:rPr>
        <w:t xml:space="preserve"> </w:t>
      </w:r>
      <w:r w:rsidRPr="00B852D8">
        <w:rPr>
          <w:rStyle w:val="a5"/>
          <w:rFonts w:ascii="Verdana" w:hAnsi="Verdana"/>
          <w:i/>
          <w:color w:val="auto"/>
          <w:sz w:val="18"/>
          <w:szCs w:val="18"/>
          <w:u w:val="none"/>
          <w:lang w:val="en-US"/>
        </w:rPr>
        <w:t>Step</w:t>
      </w:r>
    </w:p>
    <w:p w:rsidR="00B852D8" w:rsidRPr="00B852D8" w:rsidRDefault="00B852D8" w:rsidP="00B852D8">
      <w:pPr>
        <w:pStyle w:val="a3"/>
        <w:spacing w:line="276" w:lineRule="auto"/>
        <w:ind w:firstLine="708"/>
        <w:jc w:val="right"/>
        <w:rPr>
          <w:rStyle w:val="a5"/>
          <w:rFonts w:ascii="Verdana" w:hAnsi="Verdana"/>
          <w:i/>
          <w:color w:val="auto"/>
          <w:sz w:val="20"/>
          <w:szCs w:val="20"/>
          <w:u w:val="none"/>
          <w:lang w:val="bg-BG"/>
        </w:rPr>
      </w:pPr>
    </w:p>
    <w:p w:rsidR="00B852D8" w:rsidRPr="00B852D8" w:rsidRDefault="00B852D8" w:rsidP="00B852D8">
      <w:pPr>
        <w:pStyle w:val="a3"/>
        <w:spacing w:line="276" w:lineRule="auto"/>
        <w:ind w:firstLine="708"/>
        <w:jc w:val="both"/>
        <w:rPr>
          <w:rStyle w:val="a5"/>
          <w:rFonts w:ascii="Verdana" w:hAnsi="Verdana"/>
          <w:color w:val="auto"/>
          <w:sz w:val="20"/>
          <w:szCs w:val="20"/>
          <w:u w:val="none"/>
          <w:lang w:val="bg-BG"/>
        </w:rPr>
      </w:pPr>
      <w:r w:rsidRPr="00B852D8">
        <w:rPr>
          <w:rStyle w:val="a5"/>
          <w:rFonts w:ascii="Verdana" w:hAnsi="Verdana"/>
          <w:color w:val="auto"/>
          <w:sz w:val="20"/>
          <w:szCs w:val="20"/>
          <w:u w:val="none"/>
          <w:lang w:val="bg-BG"/>
        </w:rPr>
        <w:t>Производството в Северозападния, Уралския и Севернокавказкия федерални окръзи е под 1%.</w:t>
      </w:r>
    </w:p>
    <w:p w:rsidR="00B852D8" w:rsidRPr="00B852D8" w:rsidRDefault="00B852D8" w:rsidP="00B852D8">
      <w:pPr>
        <w:pStyle w:val="a3"/>
        <w:spacing w:line="276" w:lineRule="auto"/>
        <w:ind w:firstLine="708"/>
        <w:jc w:val="both"/>
        <w:rPr>
          <w:rStyle w:val="a5"/>
          <w:rFonts w:ascii="Verdana" w:hAnsi="Verdana"/>
          <w:color w:val="auto"/>
          <w:sz w:val="20"/>
          <w:szCs w:val="20"/>
          <w:u w:val="none"/>
          <w:lang w:val="bg-BG"/>
        </w:rPr>
      </w:pPr>
    </w:p>
    <w:p w:rsidR="00B852D8" w:rsidRPr="00B852D8" w:rsidRDefault="00B852D8" w:rsidP="00B852D8">
      <w:pPr>
        <w:pStyle w:val="a3"/>
        <w:spacing w:line="276" w:lineRule="auto"/>
        <w:ind w:firstLine="708"/>
        <w:jc w:val="both"/>
        <w:rPr>
          <w:rStyle w:val="a5"/>
          <w:rFonts w:ascii="Verdana" w:hAnsi="Verdana"/>
          <w:color w:val="auto"/>
          <w:sz w:val="20"/>
          <w:szCs w:val="20"/>
          <w:u w:val="none"/>
          <w:lang w:val="bg-BG"/>
        </w:rPr>
      </w:pPr>
    </w:p>
    <w:p w:rsidR="00B852D8" w:rsidRPr="00B852D8" w:rsidRDefault="00B852D8" w:rsidP="00B852D8">
      <w:pPr>
        <w:pStyle w:val="a3"/>
        <w:spacing w:line="276" w:lineRule="auto"/>
        <w:ind w:firstLine="708"/>
        <w:jc w:val="center"/>
        <w:rPr>
          <w:rStyle w:val="a5"/>
          <w:rFonts w:ascii="Verdana" w:hAnsi="Verdana"/>
          <w:color w:val="auto"/>
          <w:sz w:val="20"/>
          <w:szCs w:val="20"/>
          <w:u w:val="none"/>
          <w:lang w:val="bg-BG"/>
        </w:rPr>
      </w:pPr>
      <w:r w:rsidRPr="00B852D8">
        <w:rPr>
          <w:rFonts w:ascii="Verdana" w:hAnsi="Verdana"/>
          <w:noProof/>
          <w:sz w:val="20"/>
          <w:szCs w:val="20"/>
          <w:lang w:eastAsia="ru-RU"/>
        </w:rPr>
        <w:drawing>
          <wp:inline distT="0" distB="0" distL="0" distR="0" wp14:anchorId="2538C4E4" wp14:editId="0DE6323A">
            <wp:extent cx="4349750" cy="22479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852D8" w:rsidRPr="00B852D8" w:rsidRDefault="00B852D8" w:rsidP="00B852D8">
      <w:pPr>
        <w:pStyle w:val="a3"/>
        <w:spacing w:line="276" w:lineRule="auto"/>
        <w:ind w:firstLine="708"/>
        <w:rPr>
          <w:rStyle w:val="a5"/>
          <w:rFonts w:ascii="Verdana" w:hAnsi="Verdana"/>
          <w:color w:val="auto"/>
          <w:sz w:val="20"/>
          <w:szCs w:val="20"/>
          <w:u w:val="none"/>
          <w:lang w:val="bg-BG"/>
        </w:rPr>
      </w:pPr>
      <w:r w:rsidRPr="00B852D8">
        <w:rPr>
          <w:rStyle w:val="a5"/>
          <w:rFonts w:ascii="Verdana" w:hAnsi="Verdana"/>
          <w:b/>
          <w:i/>
          <w:color w:val="auto"/>
          <w:sz w:val="18"/>
          <w:szCs w:val="18"/>
          <w:u w:val="none"/>
          <w:lang w:val="bg-BG"/>
        </w:rPr>
        <w:t xml:space="preserve">Източник: </w:t>
      </w:r>
      <w:r w:rsidRPr="00B852D8">
        <w:rPr>
          <w:rStyle w:val="a5"/>
          <w:rFonts w:ascii="Verdana" w:hAnsi="Verdana"/>
          <w:i/>
          <w:color w:val="auto"/>
          <w:sz w:val="18"/>
          <w:szCs w:val="18"/>
          <w:u w:val="none"/>
          <w:lang w:val="en-US"/>
        </w:rPr>
        <w:t>Step</w:t>
      </w:r>
      <w:r w:rsidRPr="00B852D8">
        <w:rPr>
          <w:rStyle w:val="a5"/>
          <w:rFonts w:ascii="Verdana" w:hAnsi="Verdana"/>
          <w:i/>
          <w:color w:val="auto"/>
          <w:sz w:val="18"/>
          <w:szCs w:val="18"/>
          <w:u w:val="none"/>
        </w:rPr>
        <w:t xml:space="preserve"> </w:t>
      </w:r>
      <w:r w:rsidRPr="00B852D8">
        <w:rPr>
          <w:rStyle w:val="a5"/>
          <w:rFonts w:ascii="Verdana" w:hAnsi="Verdana"/>
          <w:i/>
          <w:color w:val="auto"/>
          <w:sz w:val="18"/>
          <w:szCs w:val="18"/>
          <w:u w:val="none"/>
          <w:lang w:val="en-US"/>
        </w:rPr>
        <w:t>by</w:t>
      </w:r>
      <w:r w:rsidRPr="00B852D8">
        <w:rPr>
          <w:rStyle w:val="a5"/>
          <w:rFonts w:ascii="Verdana" w:hAnsi="Verdana"/>
          <w:i/>
          <w:color w:val="auto"/>
          <w:sz w:val="18"/>
          <w:szCs w:val="18"/>
          <w:u w:val="none"/>
        </w:rPr>
        <w:t xml:space="preserve"> </w:t>
      </w:r>
      <w:r w:rsidRPr="00B852D8">
        <w:rPr>
          <w:rStyle w:val="a5"/>
          <w:rFonts w:ascii="Verdana" w:hAnsi="Verdana"/>
          <w:i/>
          <w:color w:val="auto"/>
          <w:sz w:val="18"/>
          <w:szCs w:val="18"/>
          <w:u w:val="none"/>
          <w:lang w:val="en-US"/>
        </w:rPr>
        <w:t>Step</w:t>
      </w:r>
    </w:p>
    <w:p w:rsidR="00B852D8" w:rsidRPr="00B852D8" w:rsidRDefault="00B852D8" w:rsidP="00B852D8">
      <w:pPr>
        <w:pStyle w:val="a3"/>
        <w:spacing w:line="276" w:lineRule="auto"/>
        <w:ind w:firstLine="708"/>
        <w:jc w:val="both"/>
        <w:rPr>
          <w:rStyle w:val="a5"/>
          <w:rFonts w:ascii="Verdana" w:hAnsi="Verdana"/>
          <w:color w:val="auto"/>
          <w:sz w:val="20"/>
          <w:szCs w:val="20"/>
          <w:u w:val="none"/>
          <w:lang w:val="bg-BG"/>
        </w:rPr>
      </w:pPr>
    </w:p>
    <w:p w:rsidR="00B852D8" w:rsidRPr="00B852D8" w:rsidRDefault="00B852D8" w:rsidP="00B852D8">
      <w:pPr>
        <w:pStyle w:val="a3"/>
        <w:ind w:firstLine="708"/>
        <w:jc w:val="both"/>
        <w:rPr>
          <w:rStyle w:val="a5"/>
          <w:rFonts w:ascii="Verdana" w:hAnsi="Verdana"/>
          <w:color w:val="auto"/>
          <w:sz w:val="20"/>
          <w:szCs w:val="20"/>
          <w:u w:val="none"/>
          <w:lang w:val="bg-BG"/>
        </w:rPr>
      </w:pPr>
      <w:r w:rsidRPr="00B852D8">
        <w:rPr>
          <w:rStyle w:val="a5"/>
          <w:rFonts w:ascii="Verdana" w:hAnsi="Verdana"/>
          <w:color w:val="auto"/>
          <w:sz w:val="20"/>
          <w:szCs w:val="20"/>
          <w:u w:val="none"/>
          <w:lang w:val="bg-BG"/>
        </w:rPr>
        <w:t>Продуктите с частна марка стават все по-разпространени: все повече магазини представят свои собствени марки. Тези продукти обикновено са позиционирани в икономичния сегмент.</w:t>
      </w:r>
    </w:p>
    <w:p w:rsidR="00B852D8" w:rsidRPr="00B852D8" w:rsidRDefault="00B852D8" w:rsidP="00B852D8">
      <w:pPr>
        <w:pStyle w:val="a3"/>
        <w:spacing w:line="276" w:lineRule="auto"/>
        <w:ind w:firstLine="708"/>
        <w:jc w:val="both"/>
        <w:rPr>
          <w:rStyle w:val="a5"/>
          <w:rFonts w:ascii="Verdana" w:hAnsi="Verdana"/>
          <w:color w:val="auto"/>
          <w:sz w:val="20"/>
          <w:szCs w:val="20"/>
          <w:u w:val="none"/>
          <w:lang w:val="bg-BG"/>
        </w:rPr>
      </w:pPr>
      <w:r w:rsidRPr="00B852D8">
        <w:rPr>
          <w:rStyle w:val="a5"/>
          <w:rFonts w:ascii="Verdana" w:hAnsi="Verdana"/>
          <w:color w:val="auto"/>
          <w:sz w:val="20"/>
          <w:szCs w:val="20"/>
          <w:u w:val="none"/>
          <w:lang w:val="bg-BG"/>
        </w:rPr>
        <w:t xml:space="preserve">Според Росстат, цената на литър сок през 2019 г. се е увеличила с 5,13 рубли. През януари 2020 г. цената намалява с 0,29 рубли. Тази сезонност може да се проследи във всички видове продукти: цените продължават да се покачват преди Нова година, а през </w:t>
      </w:r>
      <w:r w:rsidRPr="00B852D8">
        <w:rPr>
          <w:rStyle w:val="a5"/>
          <w:rFonts w:ascii="Verdana" w:hAnsi="Verdana"/>
          <w:color w:val="auto"/>
          <w:sz w:val="20"/>
          <w:szCs w:val="20"/>
          <w:u w:val="none"/>
          <w:lang w:val="bg-BG"/>
        </w:rPr>
        <w:lastRenderedPageBreak/>
        <w:t>януари следващата година има лек спад. За трите месеца на 2020 г. ръстът възлиза на 1,08 рубли.</w:t>
      </w:r>
    </w:p>
    <w:p w:rsidR="00B852D8" w:rsidRPr="00B852D8" w:rsidRDefault="00B852D8" w:rsidP="00B852D8">
      <w:pPr>
        <w:pStyle w:val="a3"/>
        <w:spacing w:line="276" w:lineRule="auto"/>
        <w:ind w:firstLine="708"/>
        <w:jc w:val="both"/>
        <w:rPr>
          <w:rStyle w:val="a5"/>
          <w:rFonts w:ascii="Verdana" w:hAnsi="Verdana"/>
          <w:color w:val="auto"/>
          <w:sz w:val="20"/>
          <w:szCs w:val="20"/>
          <w:u w:val="none"/>
          <w:lang w:val="bg-BG"/>
        </w:rPr>
      </w:pPr>
    </w:p>
    <w:p w:rsidR="00B852D8" w:rsidRPr="00B852D8" w:rsidRDefault="00B852D8" w:rsidP="00B852D8">
      <w:pPr>
        <w:pStyle w:val="a3"/>
        <w:spacing w:line="276" w:lineRule="auto"/>
        <w:ind w:firstLine="708"/>
        <w:jc w:val="center"/>
        <w:rPr>
          <w:rStyle w:val="a5"/>
          <w:rFonts w:ascii="Verdana" w:hAnsi="Verdana"/>
          <w:b/>
          <w:i/>
          <w:color w:val="auto"/>
          <w:sz w:val="18"/>
          <w:szCs w:val="18"/>
          <w:u w:val="none"/>
          <w:lang w:val="bg-BG"/>
        </w:rPr>
      </w:pPr>
      <w:r w:rsidRPr="00B852D8">
        <w:rPr>
          <w:rStyle w:val="a5"/>
          <w:rFonts w:ascii="Verdana" w:hAnsi="Verdana"/>
          <w:b/>
          <w:i/>
          <w:color w:val="auto"/>
          <w:sz w:val="18"/>
          <w:szCs w:val="18"/>
          <w:u w:val="none"/>
          <w:lang w:val="bg-BG"/>
        </w:rPr>
        <w:t>Динамика на цените на соковете от 2019 г. до април 2020 г., руб./литър</w:t>
      </w:r>
    </w:p>
    <w:p w:rsidR="00B852D8" w:rsidRPr="00B852D8" w:rsidRDefault="00B852D8" w:rsidP="00B852D8">
      <w:pPr>
        <w:pStyle w:val="a3"/>
        <w:spacing w:line="276" w:lineRule="auto"/>
        <w:ind w:firstLine="708"/>
        <w:jc w:val="center"/>
        <w:rPr>
          <w:rStyle w:val="a5"/>
          <w:rFonts w:ascii="Verdana" w:hAnsi="Verdana"/>
          <w:b/>
          <w:i/>
          <w:color w:val="auto"/>
          <w:sz w:val="18"/>
          <w:szCs w:val="18"/>
          <w:u w:val="none"/>
          <w:lang w:val="bg-BG"/>
        </w:rPr>
      </w:pPr>
    </w:p>
    <w:p w:rsidR="00B852D8" w:rsidRPr="00B852D8" w:rsidRDefault="00B852D8" w:rsidP="00B852D8">
      <w:pPr>
        <w:pStyle w:val="a3"/>
        <w:spacing w:line="276" w:lineRule="auto"/>
        <w:ind w:firstLine="708"/>
        <w:jc w:val="center"/>
        <w:rPr>
          <w:rStyle w:val="a5"/>
          <w:rFonts w:ascii="Verdana" w:hAnsi="Verdana"/>
          <w:color w:val="auto"/>
          <w:sz w:val="20"/>
          <w:szCs w:val="20"/>
          <w:u w:val="none"/>
          <w:lang w:val="bg-BG"/>
        </w:rPr>
      </w:pPr>
      <w:r w:rsidRPr="00B852D8">
        <w:rPr>
          <w:rFonts w:ascii="Tahoma" w:eastAsia="Times New Roman" w:hAnsi="Tahoma" w:cs="Tahoma"/>
          <w:noProof/>
          <w:sz w:val="24"/>
          <w:szCs w:val="24"/>
          <w:lang w:eastAsia="ru-RU"/>
        </w:rPr>
        <w:drawing>
          <wp:inline distT="0" distB="0" distL="0" distR="0" wp14:anchorId="40FCEB85" wp14:editId="41E41E50">
            <wp:extent cx="4585570" cy="2628900"/>
            <wp:effectExtent l="0" t="0" r="5715" b="0"/>
            <wp:docPr id="18" name="Рисунок 18" descr="Динамика цены на 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Динамика цены на сок"/>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colorTemperature colorTemp="8800"/>
                              </a14:imgEffect>
                            </a14:imgLayer>
                          </a14:imgProps>
                        </a:ext>
                        <a:ext uri="{28A0092B-C50C-407E-A947-70E740481C1C}">
                          <a14:useLocalDpi xmlns:a14="http://schemas.microsoft.com/office/drawing/2010/main" val="0"/>
                        </a:ext>
                      </a:extLst>
                    </a:blip>
                    <a:srcRect t="6210" r="16136"/>
                    <a:stretch/>
                  </pic:blipFill>
                  <pic:spPr bwMode="auto">
                    <a:xfrm>
                      <a:off x="0" y="0"/>
                      <a:ext cx="4588056" cy="2630325"/>
                    </a:xfrm>
                    <a:prstGeom prst="rect">
                      <a:avLst/>
                    </a:prstGeom>
                    <a:noFill/>
                    <a:ln>
                      <a:noFill/>
                    </a:ln>
                    <a:extLst>
                      <a:ext uri="{53640926-AAD7-44D8-BBD7-CCE9431645EC}">
                        <a14:shadowObscured xmlns:a14="http://schemas.microsoft.com/office/drawing/2010/main"/>
                      </a:ext>
                    </a:extLst>
                  </pic:spPr>
                </pic:pic>
              </a:graphicData>
            </a:graphic>
          </wp:inline>
        </w:drawing>
      </w:r>
    </w:p>
    <w:p w:rsidR="00B852D8" w:rsidRPr="00B852D8" w:rsidRDefault="00B852D8" w:rsidP="00B852D8">
      <w:pPr>
        <w:pStyle w:val="a3"/>
        <w:spacing w:line="276" w:lineRule="auto"/>
        <w:ind w:firstLine="708"/>
        <w:jc w:val="both"/>
        <w:rPr>
          <w:rStyle w:val="a5"/>
          <w:rFonts w:ascii="Verdana" w:hAnsi="Verdana"/>
          <w:color w:val="auto"/>
          <w:sz w:val="20"/>
          <w:szCs w:val="20"/>
          <w:u w:val="none"/>
          <w:lang w:val="bg-BG"/>
        </w:rPr>
      </w:pPr>
    </w:p>
    <w:p w:rsidR="00B852D8" w:rsidRPr="00B852D8" w:rsidRDefault="00B852D8" w:rsidP="00B852D8">
      <w:pPr>
        <w:pStyle w:val="a3"/>
        <w:spacing w:line="276" w:lineRule="auto"/>
        <w:ind w:firstLine="708"/>
        <w:jc w:val="both"/>
        <w:rPr>
          <w:rStyle w:val="a5"/>
          <w:rFonts w:ascii="Verdana" w:hAnsi="Verdana"/>
          <w:color w:val="auto"/>
          <w:sz w:val="20"/>
          <w:szCs w:val="20"/>
          <w:u w:val="none"/>
          <w:lang w:val="bg-BG"/>
        </w:rPr>
      </w:pPr>
      <w:r w:rsidRPr="00B852D8">
        <w:rPr>
          <w:rStyle w:val="a5"/>
          <w:rFonts w:ascii="Verdana" w:hAnsi="Verdana"/>
          <w:color w:val="auto"/>
          <w:sz w:val="20"/>
          <w:szCs w:val="20"/>
          <w:u w:val="none"/>
          <w:lang w:val="bg-BG"/>
        </w:rPr>
        <w:t>Може да се предположи, че това, което се случи в света през пролетта на 2020 г., ще се отрази на по-нататъшните цени на продуктите. Всяка година се наблюдава покачване на цените и соковете не са изключение. Не е тайна, че икономиката на страната вече няма да е същата - в края на краищата много хора не само трябваше да си вземат отпуски, но и загубиха работата си. Не всички компании издържаха карантината, но пандемията засегна много държави. Като се вземе предвид, че сокът не е основен продукт, може само да се предположи, че неговата цена ще се повиши, но с колко или колко рязко – за сега е неизвестно.</w:t>
      </w:r>
    </w:p>
    <w:p w:rsidR="00B852D8" w:rsidRPr="00B852D8" w:rsidRDefault="00B852D8" w:rsidP="00B852D8">
      <w:pPr>
        <w:pStyle w:val="a3"/>
        <w:spacing w:line="276" w:lineRule="auto"/>
        <w:ind w:firstLine="708"/>
        <w:jc w:val="both"/>
        <w:rPr>
          <w:rStyle w:val="a5"/>
          <w:rFonts w:ascii="Verdana" w:hAnsi="Verdana"/>
          <w:color w:val="auto"/>
          <w:sz w:val="20"/>
          <w:szCs w:val="20"/>
          <w:u w:val="none"/>
          <w:lang w:val="bg-BG"/>
        </w:rPr>
      </w:pPr>
      <w:r w:rsidRPr="00B852D8">
        <w:rPr>
          <w:rStyle w:val="a5"/>
          <w:rFonts w:ascii="Verdana" w:hAnsi="Verdana"/>
          <w:color w:val="auto"/>
          <w:sz w:val="20"/>
          <w:szCs w:val="20"/>
          <w:u w:val="none"/>
          <w:lang w:val="bg-BG"/>
        </w:rPr>
        <w:t>В допълнение, спадът на рублата спрямо други валути не може да не се отрази на пазара. Но цените се повишават не само на вносните продукти. Тъй като се внася не само готов сок, но и концентрат за производството му в Русия, цената на местните марки също ще расте.</w:t>
      </w:r>
    </w:p>
    <w:p w:rsidR="00B852D8" w:rsidRPr="00B852D8" w:rsidRDefault="00B852D8" w:rsidP="00B852D8">
      <w:pPr>
        <w:pStyle w:val="a3"/>
        <w:spacing w:line="276" w:lineRule="auto"/>
        <w:ind w:firstLine="708"/>
        <w:jc w:val="both"/>
        <w:rPr>
          <w:rStyle w:val="a5"/>
          <w:rFonts w:ascii="Verdana" w:hAnsi="Verdana"/>
          <w:color w:val="auto"/>
          <w:sz w:val="20"/>
          <w:szCs w:val="20"/>
          <w:u w:val="none"/>
          <w:lang w:val="bg-BG"/>
        </w:rPr>
      </w:pPr>
      <w:r w:rsidRPr="00B852D8">
        <w:rPr>
          <w:rStyle w:val="a5"/>
          <w:rFonts w:ascii="Verdana" w:hAnsi="Verdana"/>
          <w:color w:val="auto"/>
          <w:sz w:val="20"/>
          <w:szCs w:val="20"/>
          <w:u w:val="none"/>
          <w:lang w:val="bg-BG"/>
        </w:rPr>
        <w:t>През 2019 г. обемът на вноса и износа в натурално изражение възлиза на 178 147 тона, в стойностно изражение - 279 606,7 хиляди долара.</w:t>
      </w:r>
    </w:p>
    <w:p w:rsidR="00B852D8" w:rsidRPr="00B852D8" w:rsidRDefault="00B852D8" w:rsidP="00B852D8">
      <w:pPr>
        <w:pStyle w:val="a3"/>
        <w:spacing w:line="276" w:lineRule="auto"/>
        <w:ind w:firstLine="708"/>
        <w:jc w:val="both"/>
        <w:rPr>
          <w:rStyle w:val="a5"/>
          <w:rFonts w:ascii="Verdana" w:hAnsi="Verdana"/>
          <w:color w:val="auto"/>
          <w:sz w:val="20"/>
          <w:szCs w:val="20"/>
          <w:u w:val="none"/>
          <w:lang w:val="bg-BG"/>
        </w:rPr>
      </w:pPr>
    </w:p>
    <w:p w:rsidR="00B852D8" w:rsidRPr="00B852D8" w:rsidRDefault="00B852D8" w:rsidP="00B852D8">
      <w:pPr>
        <w:pStyle w:val="a3"/>
        <w:spacing w:line="276" w:lineRule="auto"/>
        <w:ind w:firstLine="708"/>
        <w:jc w:val="center"/>
        <w:rPr>
          <w:rStyle w:val="a5"/>
          <w:rFonts w:ascii="Verdana" w:hAnsi="Verdana"/>
          <w:b/>
          <w:i/>
          <w:color w:val="auto"/>
          <w:sz w:val="18"/>
          <w:szCs w:val="18"/>
          <w:u w:val="none"/>
          <w:lang w:val="bg-BG"/>
        </w:rPr>
      </w:pPr>
      <w:r w:rsidRPr="00B852D8">
        <w:rPr>
          <w:rStyle w:val="a5"/>
          <w:rFonts w:ascii="Verdana" w:hAnsi="Verdana"/>
          <w:b/>
          <w:i/>
          <w:color w:val="auto"/>
          <w:sz w:val="18"/>
          <w:szCs w:val="18"/>
          <w:u w:val="none"/>
          <w:lang w:val="bg-BG"/>
        </w:rPr>
        <w:t>Обемът на импорта и експорта през 2019 г.</w:t>
      </w:r>
    </w:p>
    <w:tbl>
      <w:tblPr>
        <w:tblStyle w:val="3-321"/>
        <w:tblW w:w="0" w:type="auto"/>
        <w:jc w:val="center"/>
        <w:tblLook w:val="04A0" w:firstRow="1" w:lastRow="0" w:firstColumn="1" w:lastColumn="0" w:noHBand="0" w:noVBand="1"/>
      </w:tblPr>
      <w:tblGrid>
        <w:gridCol w:w="1422"/>
        <w:gridCol w:w="1377"/>
        <w:gridCol w:w="1368"/>
        <w:gridCol w:w="1367"/>
        <w:gridCol w:w="1369"/>
        <w:gridCol w:w="1367"/>
      </w:tblGrid>
      <w:tr w:rsidR="00B852D8" w:rsidRPr="00B852D8" w:rsidTr="00EC7708">
        <w:trPr>
          <w:cnfStyle w:val="100000000000" w:firstRow="1" w:lastRow="0" w:firstColumn="0" w:lastColumn="0" w:oddVBand="0" w:evenVBand="0" w:oddHBand="0"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8270" w:type="dxa"/>
            <w:gridSpan w:val="6"/>
          </w:tcPr>
          <w:p w:rsidR="00B852D8" w:rsidRPr="00B852D8" w:rsidRDefault="00B852D8" w:rsidP="00EC7708">
            <w:pPr>
              <w:pStyle w:val="a3"/>
              <w:spacing w:line="276" w:lineRule="auto"/>
              <w:jc w:val="center"/>
              <w:rPr>
                <w:rStyle w:val="a5"/>
                <w:rFonts w:ascii="Verdana" w:hAnsi="Verdana"/>
                <w:color w:val="auto"/>
                <w:sz w:val="20"/>
                <w:szCs w:val="20"/>
                <w:u w:val="none"/>
              </w:rPr>
            </w:pPr>
            <w:r w:rsidRPr="00B852D8">
              <w:rPr>
                <w:rStyle w:val="a5"/>
                <w:rFonts w:ascii="Verdana" w:hAnsi="Verdana"/>
                <w:color w:val="auto"/>
                <w:sz w:val="20"/>
                <w:szCs w:val="20"/>
                <w:u w:val="none"/>
                <w:lang w:val="bg-BG"/>
              </w:rPr>
              <w:t>ВЪНШНОТЪРГОВСКИ ОБОРОТ</w:t>
            </w:r>
          </w:p>
        </w:tc>
      </w:tr>
      <w:tr w:rsidR="00B852D8" w:rsidRPr="00B852D8" w:rsidTr="00EC7708">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1422" w:type="dxa"/>
            <w:vMerge w:val="restart"/>
            <w:vAlign w:val="center"/>
          </w:tcPr>
          <w:p w:rsidR="00B852D8" w:rsidRPr="00B852D8" w:rsidRDefault="00B852D8" w:rsidP="00EC7708">
            <w:pPr>
              <w:pStyle w:val="a3"/>
              <w:spacing w:line="276" w:lineRule="auto"/>
              <w:rPr>
                <w:rStyle w:val="a5"/>
                <w:rFonts w:ascii="Verdana" w:hAnsi="Verdana"/>
                <w:color w:val="auto"/>
                <w:sz w:val="20"/>
                <w:szCs w:val="20"/>
                <w:u w:val="none"/>
                <w:lang w:val="bg-BG"/>
              </w:rPr>
            </w:pPr>
            <w:r w:rsidRPr="00B852D8">
              <w:rPr>
                <w:rStyle w:val="a5"/>
                <w:rFonts w:ascii="Verdana" w:hAnsi="Verdana"/>
                <w:color w:val="auto"/>
                <w:sz w:val="20"/>
                <w:szCs w:val="20"/>
                <w:u w:val="none"/>
                <w:lang w:val="bg-BG"/>
              </w:rPr>
              <w:t>Показател</w:t>
            </w:r>
          </w:p>
        </w:tc>
        <w:tc>
          <w:tcPr>
            <w:tcW w:w="2745" w:type="dxa"/>
            <w:gridSpan w:val="2"/>
            <w:shd w:val="clear" w:color="auto" w:fill="FFFF00"/>
            <w:vAlign w:val="center"/>
          </w:tcPr>
          <w:p w:rsidR="00B852D8" w:rsidRPr="00B852D8" w:rsidRDefault="00B852D8" w:rsidP="00EC7708">
            <w:pPr>
              <w:pStyle w:val="a3"/>
              <w:spacing w:line="276" w:lineRule="auto"/>
              <w:jc w:val="center"/>
              <w:cnfStyle w:val="000000100000" w:firstRow="0" w:lastRow="0" w:firstColumn="0" w:lastColumn="0" w:oddVBand="0" w:evenVBand="0" w:oddHBand="1" w:evenHBand="0" w:firstRowFirstColumn="0" w:firstRowLastColumn="0" w:lastRowFirstColumn="0" w:lastRowLastColumn="0"/>
              <w:rPr>
                <w:rStyle w:val="a5"/>
                <w:rFonts w:ascii="Verdana" w:hAnsi="Verdana"/>
                <w:b/>
                <w:color w:val="auto"/>
                <w:sz w:val="20"/>
                <w:szCs w:val="20"/>
                <w:u w:val="none"/>
                <w:lang w:val="bg-BG"/>
              </w:rPr>
            </w:pPr>
            <w:r w:rsidRPr="00B852D8">
              <w:rPr>
                <w:rStyle w:val="a5"/>
                <w:rFonts w:ascii="Verdana" w:hAnsi="Verdana"/>
                <w:b/>
                <w:color w:val="auto"/>
                <w:sz w:val="20"/>
                <w:szCs w:val="20"/>
                <w:u w:val="none"/>
                <w:lang w:val="bg-BG"/>
              </w:rPr>
              <w:t>В реално изражение</w:t>
            </w:r>
          </w:p>
        </w:tc>
        <w:tc>
          <w:tcPr>
            <w:tcW w:w="2736" w:type="dxa"/>
            <w:gridSpan w:val="2"/>
            <w:shd w:val="clear" w:color="auto" w:fill="FFFF00"/>
            <w:vAlign w:val="center"/>
          </w:tcPr>
          <w:p w:rsidR="00B852D8" w:rsidRPr="00B852D8" w:rsidRDefault="00B852D8" w:rsidP="00EC7708">
            <w:pPr>
              <w:pStyle w:val="a3"/>
              <w:spacing w:line="276" w:lineRule="auto"/>
              <w:jc w:val="center"/>
              <w:cnfStyle w:val="000000100000" w:firstRow="0" w:lastRow="0" w:firstColumn="0" w:lastColumn="0" w:oddVBand="0" w:evenVBand="0" w:oddHBand="1" w:evenHBand="0" w:firstRowFirstColumn="0" w:firstRowLastColumn="0" w:lastRowFirstColumn="0" w:lastRowLastColumn="0"/>
              <w:rPr>
                <w:rStyle w:val="a5"/>
                <w:rFonts w:ascii="Verdana" w:hAnsi="Verdana"/>
                <w:b/>
                <w:color w:val="auto"/>
                <w:sz w:val="20"/>
                <w:szCs w:val="20"/>
                <w:u w:val="none"/>
                <w:lang w:val="bg-BG"/>
              </w:rPr>
            </w:pPr>
            <w:r w:rsidRPr="00B852D8">
              <w:rPr>
                <w:rStyle w:val="a5"/>
                <w:rFonts w:ascii="Verdana" w:hAnsi="Verdana"/>
                <w:b/>
                <w:color w:val="auto"/>
                <w:sz w:val="20"/>
                <w:szCs w:val="20"/>
                <w:u w:val="none"/>
                <w:lang w:val="bg-BG"/>
              </w:rPr>
              <w:t>В стойностно изражение</w:t>
            </w:r>
          </w:p>
        </w:tc>
        <w:tc>
          <w:tcPr>
            <w:tcW w:w="1367" w:type="dxa"/>
            <w:shd w:val="clear" w:color="auto" w:fill="FFFF00"/>
            <w:vAlign w:val="center"/>
          </w:tcPr>
          <w:p w:rsidR="00B852D8" w:rsidRPr="00B852D8" w:rsidRDefault="00B852D8" w:rsidP="00EC7708">
            <w:pPr>
              <w:pStyle w:val="a3"/>
              <w:spacing w:line="276" w:lineRule="auto"/>
              <w:jc w:val="center"/>
              <w:cnfStyle w:val="000000100000" w:firstRow="0" w:lastRow="0" w:firstColumn="0" w:lastColumn="0" w:oddVBand="0" w:evenVBand="0" w:oddHBand="1" w:evenHBand="0" w:firstRowFirstColumn="0" w:firstRowLastColumn="0" w:lastRowFirstColumn="0" w:lastRowLastColumn="0"/>
              <w:rPr>
                <w:rStyle w:val="a5"/>
                <w:rFonts w:ascii="Verdana" w:hAnsi="Verdana"/>
                <w:b/>
                <w:color w:val="auto"/>
                <w:sz w:val="20"/>
                <w:szCs w:val="20"/>
                <w:u w:val="none"/>
                <w:lang w:val="bg-BG"/>
              </w:rPr>
            </w:pPr>
            <w:r w:rsidRPr="00B852D8">
              <w:rPr>
                <w:rStyle w:val="a5"/>
                <w:rFonts w:ascii="Verdana" w:hAnsi="Verdana"/>
                <w:b/>
                <w:color w:val="auto"/>
                <w:sz w:val="20"/>
                <w:szCs w:val="20"/>
                <w:u w:val="none"/>
                <w:lang w:val="bg-BG"/>
              </w:rPr>
              <w:t>Стойност</w:t>
            </w:r>
          </w:p>
        </w:tc>
      </w:tr>
      <w:tr w:rsidR="00B852D8" w:rsidRPr="00B852D8" w:rsidTr="00EC7708">
        <w:trPr>
          <w:trHeight w:val="267"/>
          <w:jc w:val="center"/>
        </w:trPr>
        <w:tc>
          <w:tcPr>
            <w:cnfStyle w:val="001000000000" w:firstRow="0" w:lastRow="0" w:firstColumn="1" w:lastColumn="0" w:oddVBand="0" w:evenVBand="0" w:oddHBand="0" w:evenHBand="0" w:firstRowFirstColumn="0" w:firstRowLastColumn="0" w:lastRowFirstColumn="0" w:lastRowLastColumn="0"/>
            <w:tcW w:w="1422" w:type="dxa"/>
            <w:vMerge/>
          </w:tcPr>
          <w:p w:rsidR="00B852D8" w:rsidRPr="00B852D8" w:rsidRDefault="00B852D8" w:rsidP="00EC7708">
            <w:pPr>
              <w:pStyle w:val="a3"/>
              <w:spacing w:line="276" w:lineRule="auto"/>
              <w:rPr>
                <w:rStyle w:val="a5"/>
                <w:rFonts w:ascii="Verdana" w:hAnsi="Verdana"/>
                <w:color w:val="auto"/>
                <w:sz w:val="20"/>
                <w:szCs w:val="20"/>
                <w:u w:val="none"/>
                <w:lang w:val="bg-BG"/>
              </w:rPr>
            </w:pPr>
          </w:p>
        </w:tc>
        <w:tc>
          <w:tcPr>
            <w:tcW w:w="1377" w:type="dxa"/>
            <w:shd w:val="clear" w:color="auto" w:fill="92D050"/>
            <w:vAlign w:val="center"/>
          </w:tcPr>
          <w:p w:rsidR="00B852D8" w:rsidRPr="00B852D8" w:rsidRDefault="00B852D8" w:rsidP="00EC7708">
            <w:pPr>
              <w:pStyle w:val="a3"/>
              <w:spacing w:line="276" w:lineRule="auto"/>
              <w:jc w:val="center"/>
              <w:cnfStyle w:val="000000000000" w:firstRow="0" w:lastRow="0" w:firstColumn="0" w:lastColumn="0" w:oddVBand="0" w:evenVBand="0" w:oddHBand="0" w:evenHBand="0" w:firstRowFirstColumn="0" w:firstRowLastColumn="0" w:lastRowFirstColumn="0" w:lastRowLastColumn="0"/>
              <w:rPr>
                <w:rStyle w:val="a5"/>
                <w:rFonts w:ascii="Verdana" w:hAnsi="Verdana"/>
                <w:b/>
                <w:color w:val="auto"/>
                <w:sz w:val="20"/>
                <w:szCs w:val="20"/>
                <w:u w:val="none"/>
                <w:lang w:val="bg-BG"/>
              </w:rPr>
            </w:pPr>
            <w:r w:rsidRPr="00B852D8">
              <w:rPr>
                <w:rStyle w:val="a5"/>
                <w:rFonts w:ascii="Verdana" w:hAnsi="Verdana"/>
                <w:b/>
                <w:color w:val="auto"/>
                <w:sz w:val="20"/>
                <w:szCs w:val="20"/>
                <w:u w:val="none"/>
                <w:lang w:val="bg-BG"/>
              </w:rPr>
              <w:t>тон</w:t>
            </w:r>
          </w:p>
        </w:tc>
        <w:tc>
          <w:tcPr>
            <w:tcW w:w="1368" w:type="dxa"/>
            <w:shd w:val="clear" w:color="auto" w:fill="92D050"/>
            <w:vAlign w:val="center"/>
          </w:tcPr>
          <w:p w:rsidR="00B852D8" w:rsidRPr="00B852D8" w:rsidRDefault="00B852D8" w:rsidP="00EC7708">
            <w:pPr>
              <w:pStyle w:val="a3"/>
              <w:spacing w:line="276" w:lineRule="auto"/>
              <w:jc w:val="center"/>
              <w:cnfStyle w:val="000000000000" w:firstRow="0" w:lastRow="0" w:firstColumn="0" w:lastColumn="0" w:oddVBand="0" w:evenVBand="0" w:oddHBand="0" w:evenHBand="0" w:firstRowFirstColumn="0" w:firstRowLastColumn="0" w:lastRowFirstColumn="0" w:lastRowLastColumn="0"/>
              <w:rPr>
                <w:rStyle w:val="a5"/>
                <w:rFonts w:ascii="Verdana" w:hAnsi="Verdana"/>
                <w:b/>
                <w:color w:val="auto"/>
                <w:sz w:val="20"/>
                <w:szCs w:val="20"/>
                <w:u w:val="none"/>
                <w:lang w:val="bg-BG"/>
              </w:rPr>
            </w:pPr>
            <w:r w:rsidRPr="00B852D8">
              <w:rPr>
                <w:rStyle w:val="a5"/>
                <w:rFonts w:ascii="Verdana" w:hAnsi="Verdana"/>
                <w:b/>
                <w:color w:val="auto"/>
                <w:sz w:val="20"/>
                <w:szCs w:val="20"/>
                <w:u w:val="none"/>
                <w:lang w:val="bg-BG"/>
              </w:rPr>
              <w:t>%</w:t>
            </w:r>
          </w:p>
        </w:tc>
        <w:tc>
          <w:tcPr>
            <w:tcW w:w="1367" w:type="dxa"/>
            <w:shd w:val="clear" w:color="auto" w:fill="92D050"/>
            <w:vAlign w:val="center"/>
          </w:tcPr>
          <w:p w:rsidR="00B852D8" w:rsidRPr="00B852D8" w:rsidRDefault="00B852D8" w:rsidP="00EC7708">
            <w:pPr>
              <w:pStyle w:val="a3"/>
              <w:spacing w:line="276" w:lineRule="auto"/>
              <w:jc w:val="center"/>
              <w:cnfStyle w:val="000000000000" w:firstRow="0" w:lastRow="0" w:firstColumn="0" w:lastColumn="0" w:oddVBand="0" w:evenVBand="0" w:oddHBand="0" w:evenHBand="0" w:firstRowFirstColumn="0" w:firstRowLastColumn="0" w:lastRowFirstColumn="0" w:lastRowLastColumn="0"/>
              <w:rPr>
                <w:rStyle w:val="a5"/>
                <w:rFonts w:ascii="Verdana" w:hAnsi="Verdana"/>
                <w:b/>
                <w:color w:val="auto"/>
                <w:sz w:val="20"/>
                <w:szCs w:val="20"/>
                <w:u w:val="none"/>
                <w:lang w:val="en-US"/>
              </w:rPr>
            </w:pPr>
            <w:r w:rsidRPr="00B852D8">
              <w:rPr>
                <w:rStyle w:val="a5"/>
                <w:rFonts w:ascii="Verdana" w:hAnsi="Verdana"/>
                <w:b/>
                <w:color w:val="auto"/>
                <w:sz w:val="20"/>
                <w:szCs w:val="20"/>
                <w:u w:val="none"/>
              </w:rPr>
              <w:t>х</w:t>
            </w:r>
            <w:r w:rsidRPr="00B852D8">
              <w:rPr>
                <w:rStyle w:val="a5"/>
                <w:rFonts w:ascii="Verdana" w:hAnsi="Verdana"/>
                <w:b/>
                <w:color w:val="auto"/>
                <w:sz w:val="20"/>
                <w:szCs w:val="20"/>
                <w:u w:val="none"/>
                <w:lang w:val="bg-BG"/>
              </w:rPr>
              <w:t>ил.</w:t>
            </w:r>
            <w:r w:rsidRPr="00B852D8">
              <w:rPr>
                <w:rStyle w:val="a5"/>
                <w:rFonts w:ascii="Verdana" w:hAnsi="Verdana"/>
                <w:b/>
                <w:color w:val="auto"/>
                <w:sz w:val="20"/>
                <w:szCs w:val="20"/>
                <w:u w:val="none"/>
                <w:lang w:val="en-US"/>
              </w:rPr>
              <w:t>$</w:t>
            </w:r>
          </w:p>
        </w:tc>
        <w:tc>
          <w:tcPr>
            <w:tcW w:w="1369" w:type="dxa"/>
            <w:shd w:val="clear" w:color="auto" w:fill="92D050"/>
            <w:vAlign w:val="center"/>
          </w:tcPr>
          <w:p w:rsidR="00B852D8" w:rsidRPr="00B852D8" w:rsidRDefault="00B852D8" w:rsidP="00EC7708">
            <w:pPr>
              <w:pStyle w:val="a3"/>
              <w:spacing w:line="276" w:lineRule="auto"/>
              <w:jc w:val="center"/>
              <w:cnfStyle w:val="000000000000" w:firstRow="0" w:lastRow="0" w:firstColumn="0" w:lastColumn="0" w:oddVBand="0" w:evenVBand="0" w:oddHBand="0" w:evenHBand="0" w:firstRowFirstColumn="0" w:firstRowLastColumn="0" w:lastRowFirstColumn="0" w:lastRowLastColumn="0"/>
              <w:rPr>
                <w:rStyle w:val="a5"/>
                <w:rFonts w:ascii="Verdana" w:hAnsi="Verdana"/>
                <w:b/>
                <w:color w:val="auto"/>
                <w:sz w:val="20"/>
                <w:szCs w:val="20"/>
                <w:u w:val="none"/>
                <w:lang w:val="bg-BG"/>
              </w:rPr>
            </w:pPr>
            <w:r w:rsidRPr="00B852D8">
              <w:rPr>
                <w:rStyle w:val="a5"/>
                <w:rFonts w:ascii="Verdana" w:hAnsi="Verdana"/>
                <w:b/>
                <w:color w:val="auto"/>
                <w:sz w:val="20"/>
                <w:szCs w:val="20"/>
                <w:u w:val="none"/>
                <w:lang w:val="bg-BG"/>
              </w:rPr>
              <w:t>%</w:t>
            </w:r>
          </w:p>
        </w:tc>
        <w:tc>
          <w:tcPr>
            <w:tcW w:w="1367" w:type="dxa"/>
            <w:shd w:val="clear" w:color="auto" w:fill="92D050"/>
            <w:vAlign w:val="center"/>
          </w:tcPr>
          <w:p w:rsidR="00B852D8" w:rsidRPr="00B852D8" w:rsidRDefault="00B852D8" w:rsidP="00EC7708">
            <w:pPr>
              <w:pStyle w:val="a3"/>
              <w:spacing w:line="276" w:lineRule="auto"/>
              <w:jc w:val="center"/>
              <w:cnfStyle w:val="000000000000" w:firstRow="0" w:lastRow="0" w:firstColumn="0" w:lastColumn="0" w:oddVBand="0" w:evenVBand="0" w:oddHBand="0" w:evenHBand="0" w:firstRowFirstColumn="0" w:firstRowLastColumn="0" w:lastRowFirstColumn="0" w:lastRowLastColumn="0"/>
              <w:rPr>
                <w:rStyle w:val="a5"/>
                <w:rFonts w:ascii="Verdana" w:hAnsi="Verdana"/>
                <w:b/>
                <w:color w:val="auto"/>
                <w:sz w:val="20"/>
                <w:szCs w:val="20"/>
                <w:u w:val="none"/>
                <w:lang w:val="bg-BG"/>
              </w:rPr>
            </w:pPr>
            <w:r w:rsidRPr="00B852D8">
              <w:rPr>
                <w:rStyle w:val="a5"/>
                <w:rFonts w:ascii="Verdana" w:hAnsi="Verdana"/>
                <w:b/>
                <w:color w:val="auto"/>
                <w:sz w:val="20"/>
                <w:szCs w:val="20"/>
                <w:u w:val="none"/>
              </w:rPr>
              <w:t>$ хил</w:t>
            </w:r>
            <w:proofErr w:type="gramStart"/>
            <w:r w:rsidRPr="00B852D8">
              <w:rPr>
                <w:rStyle w:val="a5"/>
                <w:rFonts w:ascii="Verdana" w:hAnsi="Verdana"/>
                <w:b/>
                <w:color w:val="auto"/>
                <w:sz w:val="20"/>
                <w:szCs w:val="20"/>
                <w:u w:val="none"/>
              </w:rPr>
              <w:t>.</w:t>
            </w:r>
            <w:proofErr w:type="gramEnd"/>
            <w:r w:rsidRPr="00B852D8">
              <w:rPr>
                <w:rStyle w:val="a5"/>
                <w:rFonts w:ascii="Verdana" w:hAnsi="Verdana"/>
                <w:b/>
                <w:color w:val="auto"/>
                <w:sz w:val="20"/>
                <w:szCs w:val="20"/>
                <w:u w:val="none"/>
              </w:rPr>
              <w:t>/</w:t>
            </w:r>
            <w:proofErr w:type="gramStart"/>
            <w:r w:rsidRPr="00B852D8">
              <w:rPr>
                <w:rStyle w:val="a5"/>
                <w:rFonts w:ascii="Verdana" w:hAnsi="Verdana"/>
                <w:b/>
                <w:color w:val="auto"/>
                <w:sz w:val="20"/>
                <w:szCs w:val="20"/>
                <w:u w:val="none"/>
              </w:rPr>
              <w:t>т</w:t>
            </w:r>
            <w:proofErr w:type="gramEnd"/>
            <w:r w:rsidRPr="00B852D8">
              <w:rPr>
                <w:rStyle w:val="a5"/>
                <w:rFonts w:ascii="Verdana" w:hAnsi="Verdana"/>
                <w:b/>
                <w:color w:val="auto"/>
                <w:sz w:val="20"/>
                <w:szCs w:val="20"/>
                <w:u w:val="none"/>
              </w:rPr>
              <w:t>.</w:t>
            </w:r>
          </w:p>
        </w:tc>
      </w:tr>
      <w:tr w:rsidR="00B852D8" w:rsidRPr="00B852D8" w:rsidTr="00EC7708">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1422" w:type="dxa"/>
          </w:tcPr>
          <w:p w:rsidR="00B852D8" w:rsidRPr="00B852D8" w:rsidRDefault="00B852D8" w:rsidP="00EC7708">
            <w:pPr>
              <w:pStyle w:val="a3"/>
              <w:spacing w:line="276" w:lineRule="auto"/>
              <w:rPr>
                <w:rStyle w:val="a5"/>
                <w:rFonts w:ascii="Verdana" w:hAnsi="Verdana"/>
                <w:color w:val="auto"/>
                <w:sz w:val="20"/>
                <w:szCs w:val="20"/>
                <w:u w:val="none"/>
                <w:lang w:val="bg-BG"/>
              </w:rPr>
            </w:pPr>
            <w:r w:rsidRPr="00B852D8">
              <w:rPr>
                <w:rStyle w:val="a5"/>
                <w:rFonts w:ascii="Verdana" w:hAnsi="Verdana"/>
                <w:color w:val="auto"/>
                <w:sz w:val="20"/>
                <w:szCs w:val="20"/>
                <w:u w:val="none"/>
                <w:lang w:val="bg-BG"/>
              </w:rPr>
              <w:t>Експорт</w:t>
            </w:r>
          </w:p>
        </w:tc>
        <w:tc>
          <w:tcPr>
            <w:tcW w:w="1377" w:type="dxa"/>
          </w:tcPr>
          <w:p w:rsidR="00B852D8" w:rsidRPr="00B852D8" w:rsidRDefault="00B852D8" w:rsidP="00EC7708">
            <w:pPr>
              <w:pStyle w:val="a3"/>
              <w:spacing w:line="276" w:lineRule="auto"/>
              <w:jc w:val="right"/>
              <w:cnfStyle w:val="000000100000" w:firstRow="0" w:lastRow="0" w:firstColumn="0" w:lastColumn="0" w:oddVBand="0" w:evenVBand="0" w:oddHBand="1" w:evenHBand="0" w:firstRowFirstColumn="0" w:firstRowLastColumn="0" w:lastRowFirstColumn="0" w:lastRowLastColumn="0"/>
              <w:rPr>
                <w:rStyle w:val="a5"/>
                <w:rFonts w:ascii="Verdana" w:hAnsi="Verdana"/>
                <w:color w:val="auto"/>
                <w:sz w:val="20"/>
                <w:szCs w:val="20"/>
                <w:u w:val="none"/>
                <w:lang w:val="bg-BG"/>
              </w:rPr>
            </w:pPr>
            <w:r w:rsidRPr="00B852D8">
              <w:rPr>
                <w:rStyle w:val="a5"/>
                <w:rFonts w:ascii="Verdana" w:hAnsi="Verdana"/>
                <w:color w:val="auto"/>
                <w:sz w:val="20"/>
                <w:szCs w:val="20"/>
                <w:u w:val="none"/>
                <w:lang w:val="bg-BG"/>
              </w:rPr>
              <w:t>13 348,42</w:t>
            </w:r>
          </w:p>
        </w:tc>
        <w:tc>
          <w:tcPr>
            <w:tcW w:w="1368" w:type="dxa"/>
          </w:tcPr>
          <w:p w:rsidR="00B852D8" w:rsidRPr="00B852D8" w:rsidRDefault="00B852D8" w:rsidP="00EC7708">
            <w:pPr>
              <w:pStyle w:val="a3"/>
              <w:spacing w:line="276" w:lineRule="auto"/>
              <w:jc w:val="right"/>
              <w:cnfStyle w:val="000000100000" w:firstRow="0" w:lastRow="0" w:firstColumn="0" w:lastColumn="0" w:oddVBand="0" w:evenVBand="0" w:oddHBand="1" w:evenHBand="0" w:firstRowFirstColumn="0" w:firstRowLastColumn="0" w:lastRowFirstColumn="0" w:lastRowLastColumn="0"/>
              <w:rPr>
                <w:rStyle w:val="a5"/>
                <w:rFonts w:ascii="Verdana" w:hAnsi="Verdana"/>
                <w:color w:val="auto"/>
                <w:sz w:val="20"/>
                <w:szCs w:val="20"/>
                <w:u w:val="none"/>
                <w:lang w:val="bg-BG"/>
              </w:rPr>
            </w:pPr>
            <w:r w:rsidRPr="00B852D8">
              <w:rPr>
                <w:rStyle w:val="a5"/>
                <w:rFonts w:ascii="Verdana" w:hAnsi="Verdana"/>
                <w:color w:val="auto"/>
                <w:sz w:val="20"/>
                <w:szCs w:val="20"/>
                <w:u w:val="none"/>
                <w:lang w:val="bg-BG"/>
              </w:rPr>
              <w:t>7,49</w:t>
            </w:r>
          </w:p>
        </w:tc>
        <w:tc>
          <w:tcPr>
            <w:tcW w:w="1367" w:type="dxa"/>
          </w:tcPr>
          <w:p w:rsidR="00B852D8" w:rsidRPr="00B852D8" w:rsidRDefault="00B852D8" w:rsidP="00EC7708">
            <w:pPr>
              <w:pStyle w:val="a3"/>
              <w:spacing w:line="276" w:lineRule="auto"/>
              <w:jc w:val="right"/>
              <w:cnfStyle w:val="000000100000" w:firstRow="0" w:lastRow="0" w:firstColumn="0" w:lastColumn="0" w:oddVBand="0" w:evenVBand="0" w:oddHBand="1" w:evenHBand="0" w:firstRowFirstColumn="0" w:firstRowLastColumn="0" w:lastRowFirstColumn="0" w:lastRowLastColumn="0"/>
              <w:rPr>
                <w:rStyle w:val="a5"/>
                <w:rFonts w:ascii="Verdana" w:hAnsi="Verdana"/>
                <w:color w:val="auto"/>
                <w:sz w:val="20"/>
                <w:szCs w:val="20"/>
                <w:u w:val="none"/>
                <w:lang w:val="bg-BG"/>
              </w:rPr>
            </w:pPr>
            <w:r w:rsidRPr="00B852D8">
              <w:rPr>
                <w:rStyle w:val="a5"/>
                <w:rFonts w:ascii="Verdana" w:hAnsi="Verdana"/>
                <w:color w:val="auto"/>
                <w:sz w:val="20"/>
                <w:szCs w:val="20"/>
                <w:u w:val="none"/>
                <w:lang w:val="bg-BG"/>
              </w:rPr>
              <w:t>10 110,3</w:t>
            </w:r>
          </w:p>
        </w:tc>
        <w:tc>
          <w:tcPr>
            <w:tcW w:w="1369" w:type="dxa"/>
          </w:tcPr>
          <w:p w:rsidR="00B852D8" w:rsidRPr="00B852D8" w:rsidRDefault="00B852D8" w:rsidP="00EC7708">
            <w:pPr>
              <w:pStyle w:val="a3"/>
              <w:spacing w:line="276" w:lineRule="auto"/>
              <w:jc w:val="right"/>
              <w:cnfStyle w:val="000000100000" w:firstRow="0" w:lastRow="0" w:firstColumn="0" w:lastColumn="0" w:oddVBand="0" w:evenVBand="0" w:oddHBand="1" w:evenHBand="0" w:firstRowFirstColumn="0" w:firstRowLastColumn="0" w:lastRowFirstColumn="0" w:lastRowLastColumn="0"/>
              <w:rPr>
                <w:rStyle w:val="a5"/>
                <w:rFonts w:ascii="Verdana" w:hAnsi="Verdana"/>
                <w:color w:val="auto"/>
                <w:sz w:val="20"/>
                <w:szCs w:val="20"/>
                <w:u w:val="none"/>
                <w:lang w:val="bg-BG"/>
              </w:rPr>
            </w:pPr>
            <w:r w:rsidRPr="00B852D8">
              <w:rPr>
                <w:rStyle w:val="a5"/>
                <w:rFonts w:ascii="Verdana" w:hAnsi="Verdana"/>
                <w:color w:val="auto"/>
                <w:sz w:val="20"/>
                <w:szCs w:val="20"/>
                <w:u w:val="none"/>
                <w:lang w:val="bg-BG"/>
              </w:rPr>
              <w:t>3,62</w:t>
            </w:r>
          </w:p>
        </w:tc>
        <w:tc>
          <w:tcPr>
            <w:tcW w:w="1367" w:type="dxa"/>
          </w:tcPr>
          <w:p w:rsidR="00B852D8" w:rsidRPr="00B852D8" w:rsidRDefault="00B852D8" w:rsidP="00EC7708">
            <w:pPr>
              <w:pStyle w:val="a3"/>
              <w:spacing w:line="276" w:lineRule="auto"/>
              <w:jc w:val="right"/>
              <w:cnfStyle w:val="000000100000" w:firstRow="0" w:lastRow="0" w:firstColumn="0" w:lastColumn="0" w:oddVBand="0" w:evenVBand="0" w:oddHBand="1" w:evenHBand="0" w:firstRowFirstColumn="0" w:firstRowLastColumn="0" w:lastRowFirstColumn="0" w:lastRowLastColumn="0"/>
              <w:rPr>
                <w:rStyle w:val="a5"/>
                <w:rFonts w:ascii="Verdana" w:hAnsi="Verdana"/>
                <w:color w:val="auto"/>
                <w:sz w:val="20"/>
                <w:szCs w:val="20"/>
                <w:u w:val="none"/>
                <w:lang w:val="bg-BG"/>
              </w:rPr>
            </w:pPr>
            <w:r w:rsidRPr="00B852D8">
              <w:rPr>
                <w:rStyle w:val="a5"/>
                <w:rFonts w:ascii="Verdana" w:hAnsi="Verdana"/>
                <w:color w:val="auto"/>
                <w:sz w:val="20"/>
                <w:szCs w:val="20"/>
                <w:u w:val="none"/>
                <w:lang w:val="bg-BG"/>
              </w:rPr>
              <w:t>0,7</w:t>
            </w:r>
          </w:p>
        </w:tc>
      </w:tr>
      <w:tr w:rsidR="00B852D8" w:rsidRPr="00B852D8" w:rsidTr="00EC7708">
        <w:trPr>
          <w:trHeight w:val="267"/>
          <w:jc w:val="center"/>
        </w:trPr>
        <w:tc>
          <w:tcPr>
            <w:cnfStyle w:val="001000000000" w:firstRow="0" w:lastRow="0" w:firstColumn="1" w:lastColumn="0" w:oddVBand="0" w:evenVBand="0" w:oddHBand="0" w:evenHBand="0" w:firstRowFirstColumn="0" w:firstRowLastColumn="0" w:lastRowFirstColumn="0" w:lastRowLastColumn="0"/>
            <w:tcW w:w="1422" w:type="dxa"/>
          </w:tcPr>
          <w:p w:rsidR="00B852D8" w:rsidRPr="00B852D8" w:rsidRDefault="00B852D8" w:rsidP="00EC7708">
            <w:pPr>
              <w:pStyle w:val="a3"/>
              <w:spacing w:line="276" w:lineRule="auto"/>
              <w:rPr>
                <w:rStyle w:val="a5"/>
                <w:rFonts w:ascii="Verdana" w:hAnsi="Verdana"/>
                <w:color w:val="auto"/>
                <w:sz w:val="20"/>
                <w:szCs w:val="20"/>
                <w:u w:val="none"/>
                <w:lang w:val="bg-BG"/>
              </w:rPr>
            </w:pPr>
            <w:r w:rsidRPr="00B852D8">
              <w:rPr>
                <w:rStyle w:val="a5"/>
                <w:rFonts w:ascii="Verdana" w:hAnsi="Verdana"/>
                <w:color w:val="auto"/>
                <w:sz w:val="20"/>
                <w:szCs w:val="20"/>
                <w:u w:val="none"/>
                <w:lang w:val="bg-BG"/>
              </w:rPr>
              <w:t>Импорт</w:t>
            </w:r>
          </w:p>
        </w:tc>
        <w:tc>
          <w:tcPr>
            <w:tcW w:w="1377" w:type="dxa"/>
          </w:tcPr>
          <w:p w:rsidR="00B852D8" w:rsidRPr="00B852D8" w:rsidRDefault="00B852D8" w:rsidP="00EC7708">
            <w:pPr>
              <w:pStyle w:val="a3"/>
              <w:spacing w:line="276" w:lineRule="auto"/>
              <w:jc w:val="right"/>
              <w:cnfStyle w:val="000000000000" w:firstRow="0" w:lastRow="0" w:firstColumn="0" w:lastColumn="0" w:oddVBand="0" w:evenVBand="0" w:oddHBand="0" w:evenHBand="0" w:firstRowFirstColumn="0" w:firstRowLastColumn="0" w:lastRowFirstColumn="0" w:lastRowLastColumn="0"/>
              <w:rPr>
                <w:rStyle w:val="a5"/>
                <w:rFonts w:ascii="Verdana" w:hAnsi="Verdana"/>
                <w:color w:val="auto"/>
                <w:sz w:val="20"/>
                <w:szCs w:val="20"/>
                <w:u w:val="none"/>
                <w:lang w:val="bg-BG"/>
              </w:rPr>
            </w:pPr>
            <w:r w:rsidRPr="00B852D8">
              <w:rPr>
                <w:rStyle w:val="a5"/>
                <w:rFonts w:ascii="Verdana" w:hAnsi="Verdana"/>
                <w:color w:val="auto"/>
                <w:sz w:val="20"/>
                <w:szCs w:val="20"/>
                <w:u w:val="none"/>
                <w:lang w:val="bg-BG"/>
              </w:rPr>
              <w:t>164 798,94</w:t>
            </w:r>
          </w:p>
        </w:tc>
        <w:tc>
          <w:tcPr>
            <w:tcW w:w="1368" w:type="dxa"/>
          </w:tcPr>
          <w:p w:rsidR="00B852D8" w:rsidRPr="00B852D8" w:rsidRDefault="00B852D8" w:rsidP="00EC7708">
            <w:pPr>
              <w:pStyle w:val="a3"/>
              <w:spacing w:line="276" w:lineRule="auto"/>
              <w:jc w:val="right"/>
              <w:cnfStyle w:val="000000000000" w:firstRow="0" w:lastRow="0" w:firstColumn="0" w:lastColumn="0" w:oddVBand="0" w:evenVBand="0" w:oddHBand="0" w:evenHBand="0" w:firstRowFirstColumn="0" w:firstRowLastColumn="0" w:lastRowFirstColumn="0" w:lastRowLastColumn="0"/>
              <w:rPr>
                <w:rStyle w:val="a5"/>
                <w:rFonts w:ascii="Verdana" w:hAnsi="Verdana"/>
                <w:color w:val="auto"/>
                <w:sz w:val="20"/>
                <w:szCs w:val="20"/>
                <w:u w:val="none"/>
                <w:lang w:val="bg-BG"/>
              </w:rPr>
            </w:pPr>
            <w:r w:rsidRPr="00B852D8">
              <w:rPr>
                <w:rStyle w:val="a5"/>
                <w:rFonts w:ascii="Verdana" w:hAnsi="Verdana"/>
                <w:color w:val="auto"/>
                <w:sz w:val="20"/>
                <w:szCs w:val="20"/>
                <w:u w:val="none"/>
                <w:lang w:val="bg-BG"/>
              </w:rPr>
              <w:t>92,51</w:t>
            </w:r>
          </w:p>
        </w:tc>
        <w:tc>
          <w:tcPr>
            <w:tcW w:w="1367" w:type="dxa"/>
          </w:tcPr>
          <w:p w:rsidR="00B852D8" w:rsidRPr="00B852D8" w:rsidRDefault="00B852D8" w:rsidP="00EC7708">
            <w:pPr>
              <w:pStyle w:val="a3"/>
              <w:spacing w:line="276" w:lineRule="auto"/>
              <w:jc w:val="right"/>
              <w:cnfStyle w:val="000000000000" w:firstRow="0" w:lastRow="0" w:firstColumn="0" w:lastColumn="0" w:oddVBand="0" w:evenVBand="0" w:oddHBand="0" w:evenHBand="0" w:firstRowFirstColumn="0" w:firstRowLastColumn="0" w:lastRowFirstColumn="0" w:lastRowLastColumn="0"/>
              <w:rPr>
                <w:rStyle w:val="a5"/>
                <w:rFonts w:ascii="Verdana" w:hAnsi="Verdana"/>
                <w:color w:val="auto"/>
                <w:sz w:val="20"/>
                <w:szCs w:val="20"/>
                <w:u w:val="none"/>
                <w:lang w:val="bg-BG"/>
              </w:rPr>
            </w:pPr>
            <w:r w:rsidRPr="00B852D8">
              <w:rPr>
                <w:rStyle w:val="a5"/>
                <w:rFonts w:ascii="Verdana" w:hAnsi="Verdana"/>
                <w:color w:val="auto"/>
                <w:sz w:val="20"/>
                <w:szCs w:val="20"/>
                <w:u w:val="none"/>
                <w:lang w:val="bg-BG"/>
              </w:rPr>
              <w:t>269 496,4</w:t>
            </w:r>
          </w:p>
        </w:tc>
        <w:tc>
          <w:tcPr>
            <w:tcW w:w="1369" w:type="dxa"/>
          </w:tcPr>
          <w:p w:rsidR="00B852D8" w:rsidRPr="00B852D8" w:rsidRDefault="00B852D8" w:rsidP="00EC7708">
            <w:pPr>
              <w:pStyle w:val="a3"/>
              <w:spacing w:line="276" w:lineRule="auto"/>
              <w:jc w:val="right"/>
              <w:cnfStyle w:val="000000000000" w:firstRow="0" w:lastRow="0" w:firstColumn="0" w:lastColumn="0" w:oddVBand="0" w:evenVBand="0" w:oddHBand="0" w:evenHBand="0" w:firstRowFirstColumn="0" w:firstRowLastColumn="0" w:lastRowFirstColumn="0" w:lastRowLastColumn="0"/>
              <w:rPr>
                <w:rStyle w:val="a5"/>
                <w:rFonts w:ascii="Verdana" w:hAnsi="Verdana"/>
                <w:color w:val="auto"/>
                <w:sz w:val="20"/>
                <w:szCs w:val="20"/>
                <w:u w:val="none"/>
                <w:lang w:val="bg-BG"/>
              </w:rPr>
            </w:pPr>
            <w:r w:rsidRPr="00B852D8">
              <w:rPr>
                <w:rStyle w:val="a5"/>
                <w:rFonts w:ascii="Verdana" w:hAnsi="Verdana"/>
                <w:color w:val="auto"/>
                <w:sz w:val="20"/>
                <w:szCs w:val="20"/>
                <w:u w:val="none"/>
                <w:lang w:val="bg-BG"/>
              </w:rPr>
              <w:t>96,38</w:t>
            </w:r>
          </w:p>
        </w:tc>
        <w:tc>
          <w:tcPr>
            <w:tcW w:w="1367" w:type="dxa"/>
          </w:tcPr>
          <w:p w:rsidR="00B852D8" w:rsidRPr="00B852D8" w:rsidRDefault="00B852D8" w:rsidP="00EC7708">
            <w:pPr>
              <w:pStyle w:val="a3"/>
              <w:spacing w:line="276" w:lineRule="auto"/>
              <w:jc w:val="right"/>
              <w:cnfStyle w:val="000000000000" w:firstRow="0" w:lastRow="0" w:firstColumn="0" w:lastColumn="0" w:oddVBand="0" w:evenVBand="0" w:oddHBand="0" w:evenHBand="0" w:firstRowFirstColumn="0" w:firstRowLastColumn="0" w:lastRowFirstColumn="0" w:lastRowLastColumn="0"/>
              <w:rPr>
                <w:rStyle w:val="a5"/>
                <w:rFonts w:ascii="Verdana" w:hAnsi="Verdana"/>
                <w:color w:val="auto"/>
                <w:sz w:val="20"/>
                <w:szCs w:val="20"/>
                <w:u w:val="none"/>
                <w:lang w:val="bg-BG"/>
              </w:rPr>
            </w:pPr>
            <w:r w:rsidRPr="00B852D8">
              <w:rPr>
                <w:rStyle w:val="a5"/>
                <w:rFonts w:ascii="Verdana" w:hAnsi="Verdana"/>
                <w:color w:val="auto"/>
                <w:sz w:val="20"/>
                <w:szCs w:val="20"/>
                <w:u w:val="none"/>
                <w:lang w:val="bg-BG"/>
              </w:rPr>
              <w:t>1,6</w:t>
            </w:r>
          </w:p>
        </w:tc>
      </w:tr>
      <w:tr w:rsidR="00B852D8" w:rsidRPr="00B852D8" w:rsidTr="00EC7708">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1422" w:type="dxa"/>
          </w:tcPr>
          <w:p w:rsidR="00B852D8" w:rsidRPr="00B852D8" w:rsidRDefault="00B852D8" w:rsidP="00EC7708">
            <w:pPr>
              <w:pStyle w:val="a3"/>
              <w:spacing w:line="276" w:lineRule="auto"/>
              <w:rPr>
                <w:rStyle w:val="a5"/>
                <w:rFonts w:ascii="Verdana" w:hAnsi="Verdana"/>
                <w:color w:val="auto"/>
                <w:sz w:val="20"/>
                <w:szCs w:val="20"/>
                <w:u w:val="none"/>
                <w:lang w:val="bg-BG"/>
              </w:rPr>
            </w:pPr>
            <w:r w:rsidRPr="00B852D8">
              <w:rPr>
                <w:rStyle w:val="a5"/>
                <w:rFonts w:ascii="Verdana" w:hAnsi="Verdana"/>
                <w:color w:val="auto"/>
                <w:sz w:val="20"/>
                <w:szCs w:val="20"/>
                <w:u w:val="none"/>
                <w:lang w:val="bg-BG"/>
              </w:rPr>
              <w:t>Салдо</w:t>
            </w:r>
          </w:p>
        </w:tc>
        <w:tc>
          <w:tcPr>
            <w:tcW w:w="1377" w:type="dxa"/>
          </w:tcPr>
          <w:p w:rsidR="00B852D8" w:rsidRPr="00B852D8" w:rsidRDefault="00B852D8" w:rsidP="00EC7708">
            <w:pPr>
              <w:pStyle w:val="a3"/>
              <w:spacing w:line="276" w:lineRule="auto"/>
              <w:jc w:val="right"/>
              <w:cnfStyle w:val="000000100000" w:firstRow="0" w:lastRow="0" w:firstColumn="0" w:lastColumn="0" w:oddVBand="0" w:evenVBand="0" w:oddHBand="1" w:evenHBand="0" w:firstRowFirstColumn="0" w:firstRowLastColumn="0" w:lastRowFirstColumn="0" w:lastRowLastColumn="0"/>
              <w:rPr>
                <w:rStyle w:val="a5"/>
                <w:rFonts w:ascii="Verdana" w:hAnsi="Verdana"/>
                <w:color w:val="auto"/>
                <w:sz w:val="20"/>
                <w:szCs w:val="20"/>
                <w:u w:val="none"/>
                <w:lang w:val="bg-BG"/>
              </w:rPr>
            </w:pPr>
            <w:r w:rsidRPr="00B852D8">
              <w:rPr>
                <w:rStyle w:val="a5"/>
                <w:rFonts w:ascii="Verdana" w:hAnsi="Verdana"/>
                <w:color w:val="auto"/>
                <w:sz w:val="20"/>
                <w:szCs w:val="20"/>
                <w:u w:val="none"/>
                <w:lang w:val="bg-BG"/>
              </w:rPr>
              <w:t>-151 451</w:t>
            </w:r>
          </w:p>
        </w:tc>
        <w:tc>
          <w:tcPr>
            <w:tcW w:w="1368" w:type="dxa"/>
          </w:tcPr>
          <w:p w:rsidR="00B852D8" w:rsidRPr="00B852D8" w:rsidRDefault="00B852D8" w:rsidP="00EC7708">
            <w:pPr>
              <w:pStyle w:val="a3"/>
              <w:spacing w:line="276" w:lineRule="auto"/>
              <w:jc w:val="right"/>
              <w:cnfStyle w:val="000000100000" w:firstRow="0" w:lastRow="0" w:firstColumn="0" w:lastColumn="0" w:oddVBand="0" w:evenVBand="0" w:oddHBand="1" w:evenHBand="0" w:firstRowFirstColumn="0" w:firstRowLastColumn="0" w:lastRowFirstColumn="0" w:lastRowLastColumn="0"/>
              <w:rPr>
                <w:rStyle w:val="a5"/>
                <w:rFonts w:ascii="Verdana" w:hAnsi="Verdana"/>
                <w:color w:val="auto"/>
                <w:sz w:val="20"/>
                <w:szCs w:val="20"/>
                <w:u w:val="none"/>
                <w:lang w:val="bg-BG"/>
              </w:rPr>
            </w:pPr>
          </w:p>
        </w:tc>
        <w:tc>
          <w:tcPr>
            <w:tcW w:w="1367" w:type="dxa"/>
          </w:tcPr>
          <w:p w:rsidR="00B852D8" w:rsidRPr="00B852D8" w:rsidRDefault="00B852D8" w:rsidP="00EC7708">
            <w:pPr>
              <w:pStyle w:val="a3"/>
              <w:spacing w:line="276" w:lineRule="auto"/>
              <w:jc w:val="right"/>
              <w:cnfStyle w:val="000000100000" w:firstRow="0" w:lastRow="0" w:firstColumn="0" w:lastColumn="0" w:oddVBand="0" w:evenVBand="0" w:oddHBand="1" w:evenHBand="0" w:firstRowFirstColumn="0" w:firstRowLastColumn="0" w:lastRowFirstColumn="0" w:lastRowLastColumn="0"/>
              <w:rPr>
                <w:rStyle w:val="a5"/>
                <w:rFonts w:ascii="Verdana" w:hAnsi="Verdana"/>
                <w:color w:val="auto"/>
                <w:sz w:val="20"/>
                <w:szCs w:val="20"/>
                <w:u w:val="none"/>
                <w:lang w:val="bg-BG"/>
              </w:rPr>
            </w:pPr>
            <w:r w:rsidRPr="00B852D8">
              <w:rPr>
                <w:rStyle w:val="a5"/>
                <w:rFonts w:ascii="Verdana" w:hAnsi="Verdana"/>
                <w:color w:val="auto"/>
                <w:sz w:val="20"/>
                <w:szCs w:val="20"/>
                <w:u w:val="none"/>
                <w:lang w:val="bg-BG"/>
              </w:rPr>
              <w:t>-259 386,1</w:t>
            </w:r>
          </w:p>
        </w:tc>
        <w:tc>
          <w:tcPr>
            <w:tcW w:w="1369" w:type="dxa"/>
          </w:tcPr>
          <w:p w:rsidR="00B852D8" w:rsidRPr="00B852D8" w:rsidRDefault="00B852D8" w:rsidP="00EC7708">
            <w:pPr>
              <w:pStyle w:val="a3"/>
              <w:spacing w:line="276" w:lineRule="auto"/>
              <w:jc w:val="right"/>
              <w:cnfStyle w:val="000000100000" w:firstRow="0" w:lastRow="0" w:firstColumn="0" w:lastColumn="0" w:oddVBand="0" w:evenVBand="0" w:oddHBand="1" w:evenHBand="0" w:firstRowFirstColumn="0" w:firstRowLastColumn="0" w:lastRowFirstColumn="0" w:lastRowLastColumn="0"/>
              <w:rPr>
                <w:rStyle w:val="a5"/>
                <w:rFonts w:ascii="Verdana" w:hAnsi="Verdana"/>
                <w:color w:val="auto"/>
                <w:sz w:val="20"/>
                <w:szCs w:val="20"/>
                <w:u w:val="none"/>
                <w:lang w:val="bg-BG"/>
              </w:rPr>
            </w:pPr>
          </w:p>
        </w:tc>
        <w:tc>
          <w:tcPr>
            <w:tcW w:w="1367" w:type="dxa"/>
          </w:tcPr>
          <w:p w:rsidR="00B852D8" w:rsidRPr="00B852D8" w:rsidRDefault="00B852D8" w:rsidP="00EC7708">
            <w:pPr>
              <w:pStyle w:val="a3"/>
              <w:spacing w:line="276" w:lineRule="auto"/>
              <w:jc w:val="right"/>
              <w:cnfStyle w:val="000000100000" w:firstRow="0" w:lastRow="0" w:firstColumn="0" w:lastColumn="0" w:oddVBand="0" w:evenVBand="0" w:oddHBand="1" w:evenHBand="0" w:firstRowFirstColumn="0" w:firstRowLastColumn="0" w:lastRowFirstColumn="0" w:lastRowLastColumn="0"/>
              <w:rPr>
                <w:rStyle w:val="a5"/>
                <w:rFonts w:ascii="Verdana" w:hAnsi="Verdana"/>
                <w:color w:val="auto"/>
                <w:sz w:val="20"/>
                <w:szCs w:val="20"/>
                <w:u w:val="none"/>
                <w:lang w:val="bg-BG"/>
              </w:rPr>
            </w:pPr>
          </w:p>
        </w:tc>
      </w:tr>
      <w:tr w:rsidR="00B852D8" w:rsidRPr="00B852D8" w:rsidTr="00EC7708">
        <w:trPr>
          <w:trHeight w:val="267"/>
          <w:jc w:val="center"/>
        </w:trPr>
        <w:tc>
          <w:tcPr>
            <w:cnfStyle w:val="001000000000" w:firstRow="0" w:lastRow="0" w:firstColumn="1" w:lastColumn="0" w:oddVBand="0" w:evenVBand="0" w:oddHBand="0" w:evenHBand="0" w:firstRowFirstColumn="0" w:firstRowLastColumn="0" w:lastRowFirstColumn="0" w:lastRowLastColumn="0"/>
            <w:tcW w:w="1422" w:type="dxa"/>
          </w:tcPr>
          <w:p w:rsidR="00B852D8" w:rsidRPr="00B852D8" w:rsidRDefault="00B852D8" w:rsidP="00EC7708">
            <w:pPr>
              <w:pStyle w:val="a3"/>
              <w:spacing w:line="276" w:lineRule="auto"/>
              <w:rPr>
                <w:rStyle w:val="a5"/>
                <w:rFonts w:ascii="Verdana" w:hAnsi="Verdana"/>
                <w:color w:val="auto"/>
                <w:sz w:val="20"/>
                <w:szCs w:val="20"/>
                <w:u w:val="none"/>
                <w:lang w:val="bg-BG"/>
              </w:rPr>
            </w:pPr>
            <w:r w:rsidRPr="00B852D8">
              <w:rPr>
                <w:rStyle w:val="a5"/>
                <w:rFonts w:ascii="Verdana" w:hAnsi="Verdana"/>
                <w:color w:val="auto"/>
                <w:sz w:val="20"/>
                <w:szCs w:val="20"/>
                <w:u w:val="none"/>
                <w:lang w:val="bg-BG"/>
              </w:rPr>
              <w:t>Оборот</w:t>
            </w:r>
          </w:p>
        </w:tc>
        <w:tc>
          <w:tcPr>
            <w:tcW w:w="1377" w:type="dxa"/>
          </w:tcPr>
          <w:p w:rsidR="00B852D8" w:rsidRPr="00B852D8" w:rsidRDefault="00B852D8" w:rsidP="00EC7708">
            <w:pPr>
              <w:pStyle w:val="a3"/>
              <w:spacing w:line="276" w:lineRule="auto"/>
              <w:jc w:val="right"/>
              <w:cnfStyle w:val="000000000000" w:firstRow="0" w:lastRow="0" w:firstColumn="0" w:lastColumn="0" w:oddVBand="0" w:evenVBand="0" w:oddHBand="0" w:evenHBand="0" w:firstRowFirstColumn="0" w:firstRowLastColumn="0" w:lastRowFirstColumn="0" w:lastRowLastColumn="0"/>
              <w:rPr>
                <w:rStyle w:val="a5"/>
                <w:rFonts w:ascii="Verdana" w:hAnsi="Verdana"/>
                <w:color w:val="auto"/>
                <w:sz w:val="20"/>
                <w:szCs w:val="20"/>
                <w:u w:val="none"/>
                <w:lang w:val="bg-BG"/>
              </w:rPr>
            </w:pPr>
            <w:r w:rsidRPr="00B852D8">
              <w:rPr>
                <w:rStyle w:val="a5"/>
                <w:rFonts w:ascii="Verdana" w:hAnsi="Verdana"/>
                <w:color w:val="auto"/>
                <w:sz w:val="20"/>
                <w:szCs w:val="20"/>
                <w:u w:val="none"/>
                <w:lang w:val="bg-BG"/>
              </w:rPr>
              <w:t>178 147</w:t>
            </w:r>
          </w:p>
        </w:tc>
        <w:tc>
          <w:tcPr>
            <w:tcW w:w="1368" w:type="dxa"/>
          </w:tcPr>
          <w:p w:rsidR="00B852D8" w:rsidRPr="00B852D8" w:rsidRDefault="00B852D8" w:rsidP="00EC7708">
            <w:pPr>
              <w:pStyle w:val="a3"/>
              <w:spacing w:line="276" w:lineRule="auto"/>
              <w:jc w:val="right"/>
              <w:cnfStyle w:val="000000000000" w:firstRow="0" w:lastRow="0" w:firstColumn="0" w:lastColumn="0" w:oddVBand="0" w:evenVBand="0" w:oddHBand="0" w:evenHBand="0" w:firstRowFirstColumn="0" w:firstRowLastColumn="0" w:lastRowFirstColumn="0" w:lastRowLastColumn="0"/>
              <w:rPr>
                <w:rStyle w:val="a5"/>
                <w:rFonts w:ascii="Verdana" w:hAnsi="Verdana"/>
                <w:color w:val="auto"/>
                <w:sz w:val="20"/>
                <w:szCs w:val="20"/>
                <w:u w:val="none"/>
                <w:lang w:val="bg-BG"/>
              </w:rPr>
            </w:pPr>
            <w:r w:rsidRPr="00B852D8">
              <w:rPr>
                <w:rStyle w:val="a5"/>
                <w:rFonts w:ascii="Verdana" w:hAnsi="Verdana"/>
                <w:color w:val="auto"/>
                <w:sz w:val="20"/>
                <w:szCs w:val="20"/>
                <w:u w:val="none"/>
                <w:lang w:val="bg-BG"/>
              </w:rPr>
              <w:t>100</w:t>
            </w:r>
          </w:p>
        </w:tc>
        <w:tc>
          <w:tcPr>
            <w:tcW w:w="1367" w:type="dxa"/>
          </w:tcPr>
          <w:p w:rsidR="00B852D8" w:rsidRPr="00B852D8" w:rsidRDefault="00B852D8" w:rsidP="00EC7708">
            <w:pPr>
              <w:pStyle w:val="a3"/>
              <w:spacing w:line="276" w:lineRule="auto"/>
              <w:jc w:val="right"/>
              <w:cnfStyle w:val="000000000000" w:firstRow="0" w:lastRow="0" w:firstColumn="0" w:lastColumn="0" w:oddVBand="0" w:evenVBand="0" w:oddHBand="0" w:evenHBand="0" w:firstRowFirstColumn="0" w:firstRowLastColumn="0" w:lastRowFirstColumn="0" w:lastRowLastColumn="0"/>
              <w:rPr>
                <w:rStyle w:val="a5"/>
                <w:rFonts w:ascii="Verdana" w:hAnsi="Verdana"/>
                <w:color w:val="auto"/>
                <w:sz w:val="20"/>
                <w:szCs w:val="20"/>
                <w:u w:val="none"/>
                <w:lang w:val="bg-BG"/>
              </w:rPr>
            </w:pPr>
            <w:r w:rsidRPr="00B852D8">
              <w:rPr>
                <w:rStyle w:val="a5"/>
                <w:rFonts w:ascii="Verdana" w:hAnsi="Verdana"/>
                <w:color w:val="auto"/>
                <w:sz w:val="20"/>
                <w:szCs w:val="20"/>
                <w:u w:val="none"/>
                <w:lang w:val="bg-BG"/>
              </w:rPr>
              <w:t>279 606,7</w:t>
            </w:r>
          </w:p>
        </w:tc>
        <w:tc>
          <w:tcPr>
            <w:tcW w:w="1369" w:type="dxa"/>
          </w:tcPr>
          <w:p w:rsidR="00B852D8" w:rsidRPr="00B852D8" w:rsidRDefault="00B852D8" w:rsidP="00EC7708">
            <w:pPr>
              <w:pStyle w:val="a3"/>
              <w:spacing w:line="276" w:lineRule="auto"/>
              <w:jc w:val="right"/>
              <w:cnfStyle w:val="000000000000" w:firstRow="0" w:lastRow="0" w:firstColumn="0" w:lastColumn="0" w:oddVBand="0" w:evenVBand="0" w:oddHBand="0" w:evenHBand="0" w:firstRowFirstColumn="0" w:firstRowLastColumn="0" w:lastRowFirstColumn="0" w:lastRowLastColumn="0"/>
              <w:rPr>
                <w:rStyle w:val="a5"/>
                <w:rFonts w:ascii="Verdana" w:hAnsi="Verdana"/>
                <w:color w:val="auto"/>
                <w:sz w:val="20"/>
                <w:szCs w:val="20"/>
                <w:u w:val="none"/>
                <w:lang w:val="bg-BG"/>
              </w:rPr>
            </w:pPr>
            <w:r w:rsidRPr="00B852D8">
              <w:rPr>
                <w:rStyle w:val="a5"/>
                <w:rFonts w:ascii="Verdana" w:hAnsi="Verdana"/>
                <w:color w:val="auto"/>
                <w:sz w:val="20"/>
                <w:szCs w:val="20"/>
                <w:u w:val="none"/>
                <w:lang w:val="bg-BG"/>
              </w:rPr>
              <w:t>100</w:t>
            </w:r>
          </w:p>
        </w:tc>
        <w:tc>
          <w:tcPr>
            <w:tcW w:w="1367" w:type="dxa"/>
          </w:tcPr>
          <w:p w:rsidR="00B852D8" w:rsidRPr="00B852D8" w:rsidRDefault="00B852D8" w:rsidP="00EC7708">
            <w:pPr>
              <w:pStyle w:val="a3"/>
              <w:spacing w:line="276" w:lineRule="auto"/>
              <w:jc w:val="right"/>
              <w:cnfStyle w:val="000000000000" w:firstRow="0" w:lastRow="0" w:firstColumn="0" w:lastColumn="0" w:oddVBand="0" w:evenVBand="0" w:oddHBand="0" w:evenHBand="0" w:firstRowFirstColumn="0" w:firstRowLastColumn="0" w:lastRowFirstColumn="0" w:lastRowLastColumn="0"/>
              <w:rPr>
                <w:rStyle w:val="a5"/>
                <w:rFonts w:ascii="Verdana" w:hAnsi="Verdana"/>
                <w:color w:val="auto"/>
                <w:sz w:val="20"/>
                <w:szCs w:val="20"/>
                <w:u w:val="none"/>
                <w:lang w:val="bg-BG"/>
              </w:rPr>
            </w:pPr>
            <w:r w:rsidRPr="00B852D8">
              <w:rPr>
                <w:rStyle w:val="a5"/>
                <w:rFonts w:ascii="Verdana" w:hAnsi="Verdana"/>
                <w:color w:val="auto"/>
                <w:sz w:val="20"/>
                <w:szCs w:val="20"/>
                <w:u w:val="none"/>
                <w:lang w:val="bg-BG"/>
              </w:rPr>
              <w:t>1,6</w:t>
            </w:r>
          </w:p>
        </w:tc>
      </w:tr>
    </w:tbl>
    <w:p w:rsidR="00B852D8" w:rsidRPr="00B852D8" w:rsidRDefault="00B852D8" w:rsidP="00B852D8">
      <w:pPr>
        <w:pStyle w:val="a3"/>
        <w:spacing w:line="276" w:lineRule="auto"/>
        <w:ind w:firstLine="708"/>
        <w:rPr>
          <w:rStyle w:val="a5"/>
          <w:rFonts w:ascii="Verdana" w:hAnsi="Verdana"/>
          <w:color w:val="auto"/>
          <w:sz w:val="20"/>
          <w:szCs w:val="20"/>
          <w:u w:val="none"/>
          <w:lang w:val="bg-BG"/>
        </w:rPr>
      </w:pPr>
      <w:r w:rsidRPr="00B852D8">
        <w:rPr>
          <w:rStyle w:val="a5"/>
          <w:rFonts w:ascii="Verdana" w:hAnsi="Verdana"/>
          <w:b/>
          <w:i/>
          <w:color w:val="auto"/>
          <w:sz w:val="18"/>
          <w:szCs w:val="18"/>
          <w:u w:val="none"/>
          <w:lang w:val="bg-BG"/>
        </w:rPr>
        <w:t>Източник:</w:t>
      </w:r>
      <w:r w:rsidRPr="00B852D8">
        <w:rPr>
          <w:rStyle w:val="a5"/>
          <w:rFonts w:ascii="Verdana" w:hAnsi="Verdana"/>
          <w:i/>
          <w:color w:val="auto"/>
          <w:sz w:val="18"/>
          <w:szCs w:val="18"/>
          <w:u w:val="none"/>
          <w:lang w:val="bg-BG"/>
        </w:rPr>
        <w:t xml:space="preserve"> Базата на ТН ВЭД 2019 г.</w:t>
      </w:r>
    </w:p>
    <w:p w:rsidR="00B852D8" w:rsidRPr="00B852D8" w:rsidRDefault="00B852D8" w:rsidP="00B852D8">
      <w:pPr>
        <w:pStyle w:val="a3"/>
        <w:spacing w:line="276" w:lineRule="auto"/>
        <w:ind w:firstLine="708"/>
        <w:jc w:val="both"/>
        <w:rPr>
          <w:rStyle w:val="a5"/>
          <w:rFonts w:ascii="Verdana" w:hAnsi="Verdana"/>
          <w:color w:val="auto"/>
          <w:sz w:val="20"/>
          <w:szCs w:val="20"/>
          <w:u w:val="none"/>
          <w:lang w:val="bg-BG"/>
        </w:rPr>
      </w:pPr>
    </w:p>
    <w:p w:rsidR="00B852D8" w:rsidRPr="00B852D8" w:rsidRDefault="00B852D8" w:rsidP="00B852D8">
      <w:pPr>
        <w:pStyle w:val="a3"/>
        <w:ind w:firstLine="708"/>
        <w:jc w:val="both"/>
        <w:rPr>
          <w:rStyle w:val="a5"/>
          <w:rFonts w:ascii="Verdana" w:hAnsi="Verdana"/>
          <w:color w:val="auto"/>
          <w:sz w:val="20"/>
          <w:szCs w:val="20"/>
          <w:u w:val="none"/>
          <w:lang w:val="bg-BG"/>
        </w:rPr>
      </w:pPr>
      <w:r w:rsidRPr="00B852D8">
        <w:rPr>
          <w:rStyle w:val="a5"/>
          <w:rFonts w:ascii="Verdana" w:hAnsi="Verdana"/>
          <w:color w:val="auto"/>
          <w:sz w:val="20"/>
          <w:szCs w:val="20"/>
          <w:u w:val="none"/>
          <w:lang w:val="bg-BG"/>
        </w:rPr>
        <w:lastRenderedPageBreak/>
        <w:t>Обемът на вноса през 2019 г. възлиза на 164 798,94 тона, а в стойностно изражение - 269 496,4 хиляди долара.</w:t>
      </w:r>
    </w:p>
    <w:p w:rsidR="00B852D8" w:rsidRPr="00B852D8" w:rsidRDefault="00B852D8" w:rsidP="00B852D8">
      <w:pPr>
        <w:pStyle w:val="a3"/>
        <w:spacing w:line="276" w:lineRule="auto"/>
        <w:ind w:firstLine="708"/>
        <w:jc w:val="both"/>
        <w:rPr>
          <w:rStyle w:val="a5"/>
          <w:rFonts w:ascii="Verdana" w:hAnsi="Verdana"/>
          <w:color w:val="auto"/>
          <w:sz w:val="20"/>
          <w:szCs w:val="20"/>
          <w:u w:val="none"/>
          <w:lang w:val="bg-BG"/>
        </w:rPr>
      </w:pPr>
      <w:r w:rsidRPr="00B852D8">
        <w:rPr>
          <w:rStyle w:val="a5"/>
          <w:rFonts w:ascii="Verdana" w:hAnsi="Verdana"/>
          <w:color w:val="auto"/>
          <w:sz w:val="20"/>
          <w:szCs w:val="20"/>
          <w:u w:val="none"/>
          <w:lang w:val="bg-BG"/>
        </w:rPr>
        <w:t>Основните страни, които внасят сок в Русия, са Китай и Холандия, които през 2019 г. са внесли в страната съответно 36 574,71 тона и 32 348,18 тона в натурално изражение. Съответно в стойностно изражение е 40 925.9 и 75 139.1 хил. долара. Заслужава да се отбележи, че делът на Холандия в стойностно изражение е много по-висок, тъй като продуктите от тази страна са по-скъпи (2,3 хил. долара на тон срещу 1,1 хиляди долара на тон продукти от Китай).</w:t>
      </w:r>
    </w:p>
    <w:p w:rsidR="00B852D8" w:rsidRPr="00B852D8" w:rsidRDefault="00B852D8" w:rsidP="00B852D8">
      <w:pPr>
        <w:pStyle w:val="a3"/>
        <w:spacing w:line="276" w:lineRule="auto"/>
        <w:ind w:firstLine="708"/>
        <w:jc w:val="both"/>
        <w:rPr>
          <w:rStyle w:val="a5"/>
          <w:rFonts w:ascii="Verdana" w:hAnsi="Verdana"/>
          <w:color w:val="auto"/>
          <w:sz w:val="20"/>
          <w:szCs w:val="20"/>
          <w:u w:val="none"/>
          <w:lang w:val="bg-BG"/>
        </w:rPr>
      </w:pPr>
      <w:r w:rsidRPr="00B852D8">
        <w:rPr>
          <w:rStyle w:val="a5"/>
          <w:rFonts w:ascii="Verdana" w:hAnsi="Verdana"/>
          <w:color w:val="auto"/>
          <w:sz w:val="20"/>
          <w:szCs w:val="20"/>
          <w:u w:val="none"/>
          <w:lang w:val="bg-BG"/>
        </w:rPr>
        <w:t>Общият обем на износа през 2019 г. възлиза на 13 344,42 тона, което в стойностно изражение е равно на 10 110,3 хиляди долара.</w:t>
      </w:r>
    </w:p>
    <w:p w:rsidR="00B852D8" w:rsidRPr="00B852D8" w:rsidRDefault="00B852D8" w:rsidP="00B852D8">
      <w:pPr>
        <w:pStyle w:val="a3"/>
        <w:spacing w:line="276" w:lineRule="auto"/>
        <w:ind w:firstLine="708"/>
        <w:jc w:val="both"/>
        <w:rPr>
          <w:rStyle w:val="a5"/>
          <w:rFonts w:ascii="Verdana" w:hAnsi="Verdana"/>
          <w:color w:val="auto"/>
          <w:sz w:val="20"/>
          <w:szCs w:val="20"/>
          <w:u w:val="none"/>
          <w:lang w:val="bg-BG"/>
        </w:rPr>
      </w:pPr>
      <w:r w:rsidRPr="00B852D8">
        <w:rPr>
          <w:rStyle w:val="a5"/>
          <w:rFonts w:ascii="Verdana" w:hAnsi="Verdana"/>
          <w:color w:val="auto"/>
          <w:sz w:val="20"/>
          <w:szCs w:val="20"/>
          <w:u w:val="none"/>
          <w:lang w:val="bg-BG"/>
        </w:rPr>
        <w:t>Повечето от продуктите се изнасят за Украйна: 5241,5 тона в натурално и 2658,8 хиляди долара - в парично изражение. Най-скъпата продукция се продава в Монголия и САЩ (съответно 1,2 и 1,1 хиляди долара на тон).</w:t>
      </w:r>
    </w:p>
    <w:p w:rsidR="00B852D8" w:rsidRPr="00B852D8" w:rsidRDefault="00B852D8" w:rsidP="00B852D8">
      <w:pPr>
        <w:pStyle w:val="a3"/>
        <w:spacing w:line="276" w:lineRule="auto"/>
        <w:ind w:firstLine="708"/>
        <w:jc w:val="both"/>
        <w:rPr>
          <w:rStyle w:val="a5"/>
          <w:rFonts w:ascii="Verdana" w:hAnsi="Verdana"/>
          <w:color w:val="auto"/>
          <w:sz w:val="20"/>
          <w:szCs w:val="20"/>
          <w:u w:val="none"/>
          <w:lang w:val="bg-BG"/>
        </w:rPr>
      </w:pPr>
      <w:r w:rsidRPr="00B852D8">
        <w:rPr>
          <w:rStyle w:val="a5"/>
          <w:rFonts w:ascii="Verdana" w:hAnsi="Verdana"/>
          <w:color w:val="auto"/>
          <w:sz w:val="20"/>
          <w:szCs w:val="20"/>
          <w:u w:val="none"/>
          <w:lang w:val="bg-BG"/>
        </w:rPr>
        <w:t>Обобщавайки резултатите от проучването, трябва да се отбележи още веднъж, че в настоящата ситуация е изключително трудно да се правят прогнози. Много предприятия са спрели или намалили обемите на производство: въпреки, че самите производства не са били под карантина, трябва да се отчита фактът, че при липса на адекватно търсене продуктите остават на склад, което води до намаляване на производството.</w:t>
      </w:r>
    </w:p>
    <w:p w:rsidR="00B852D8" w:rsidRPr="00B852D8" w:rsidRDefault="00B852D8" w:rsidP="00B852D8">
      <w:pPr>
        <w:pStyle w:val="a3"/>
        <w:spacing w:line="276" w:lineRule="auto"/>
        <w:ind w:firstLine="708"/>
        <w:jc w:val="right"/>
        <w:rPr>
          <w:rStyle w:val="a5"/>
          <w:rFonts w:ascii="Verdana" w:hAnsi="Verdana"/>
          <w:color w:val="auto"/>
          <w:sz w:val="20"/>
          <w:szCs w:val="20"/>
          <w:u w:val="none"/>
          <w:lang w:val="bg-BG"/>
        </w:rPr>
      </w:pPr>
      <w:hyperlink r:id="rId12" w:history="1">
        <w:r w:rsidRPr="00B852D8">
          <w:rPr>
            <w:rStyle w:val="a5"/>
            <w:rFonts w:ascii="Verdana" w:hAnsi="Verdana"/>
            <w:color w:val="auto"/>
            <w:sz w:val="20"/>
            <w:szCs w:val="20"/>
            <w:u w:val="none"/>
            <w:lang w:val="bg-BG"/>
          </w:rPr>
          <w:t>http://www.foodmarket.spb.ru</w:t>
        </w:r>
      </w:hyperlink>
      <w:r w:rsidRPr="00B852D8">
        <w:rPr>
          <w:rStyle w:val="a5"/>
          <w:rFonts w:ascii="Verdana" w:hAnsi="Verdana"/>
          <w:color w:val="auto"/>
          <w:sz w:val="20"/>
          <w:szCs w:val="20"/>
          <w:u w:val="none"/>
          <w:lang w:val="bg-BG"/>
        </w:rPr>
        <w:t xml:space="preserve">/ </w:t>
      </w:r>
    </w:p>
    <w:bookmarkEnd w:id="0"/>
    <w:p w:rsidR="00CF555A" w:rsidRPr="00B852D8" w:rsidRDefault="00CF555A">
      <w:pPr>
        <w:rPr>
          <w:lang w:val="bg-BG"/>
        </w:rPr>
      </w:pPr>
    </w:p>
    <w:sectPr w:rsidR="00CF555A" w:rsidRPr="00B852D8">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5FE"/>
    <w:rsid w:val="00B852D8"/>
    <w:rsid w:val="00CF555A"/>
    <w:rsid w:val="00DE1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2D8"/>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852D8"/>
    <w:pPr>
      <w:spacing w:after="0" w:line="240" w:lineRule="auto"/>
    </w:pPr>
    <w:rPr>
      <w:lang w:val="ru-RU"/>
    </w:rPr>
  </w:style>
  <w:style w:type="character" w:styleId="a5">
    <w:name w:val="Hyperlink"/>
    <w:basedOn w:val="a0"/>
    <w:uiPriority w:val="99"/>
    <w:unhideWhenUsed/>
    <w:rsid w:val="00B852D8"/>
    <w:rPr>
      <w:color w:val="0563C1" w:themeColor="hyperlink"/>
      <w:u w:val="single"/>
    </w:rPr>
  </w:style>
  <w:style w:type="character" w:customStyle="1" w:styleId="a4">
    <w:name w:val="Без интервала Знак"/>
    <w:basedOn w:val="a0"/>
    <w:link w:val="a3"/>
    <w:uiPriority w:val="1"/>
    <w:rsid w:val="00B852D8"/>
    <w:rPr>
      <w:lang w:val="ru-RU"/>
    </w:rPr>
  </w:style>
  <w:style w:type="table" w:customStyle="1" w:styleId="3-321">
    <w:name w:val="Средняя сетка 3 - Акцент 321"/>
    <w:basedOn w:val="a1"/>
    <w:next w:val="3-3"/>
    <w:uiPriority w:val="69"/>
    <w:rsid w:val="00B852D8"/>
    <w:pPr>
      <w:spacing w:after="0" w:line="240" w:lineRule="auto"/>
    </w:pPr>
    <w:rPr>
      <w:lang w:val="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3">
    <w:name w:val="Medium Grid 3 Accent 3"/>
    <w:basedOn w:val="a1"/>
    <w:uiPriority w:val="69"/>
    <w:rsid w:val="00B852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paragraph" w:styleId="a6">
    <w:name w:val="Balloon Text"/>
    <w:basedOn w:val="a"/>
    <w:link w:val="a7"/>
    <w:uiPriority w:val="99"/>
    <w:semiHidden/>
    <w:unhideWhenUsed/>
    <w:rsid w:val="00B852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52D8"/>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2D8"/>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852D8"/>
    <w:pPr>
      <w:spacing w:after="0" w:line="240" w:lineRule="auto"/>
    </w:pPr>
    <w:rPr>
      <w:lang w:val="ru-RU"/>
    </w:rPr>
  </w:style>
  <w:style w:type="character" w:styleId="a5">
    <w:name w:val="Hyperlink"/>
    <w:basedOn w:val="a0"/>
    <w:uiPriority w:val="99"/>
    <w:unhideWhenUsed/>
    <w:rsid w:val="00B852D8"/>
    <w:rPr>
      <w:color w:val="0563C1" w:themeColor="hyperlink"/>
      <w:u w:val="single"/>
    </w:rPr>
  </w:style>
  <w:style w:type="character" w:customStyle="1" w:styleId="a4">
    <w:name w:val="Без интервала Знак"/>
    <w:basedOn w:val="a0"/>
    <w:link w:val="a3"/>
    <w:uiPriority w:val="1"/>
    <w:rsid w:val="00B852D8"/>
    <w:rPr>
      <w:lang w:val="ru-RU"/>
    </w:rPr>
  </w:style>
  <w:style w:type="table" w:customStyle="1" w:styleId="3-321">
    <w:name w:val="Средняя сетка 3 - Акцент 321"/>
    <w:basedOn w:val="a1"/>
    <w:next w:val="3-3"/>
    <w:uiPriority w:val="69"/>
    <w:rsid w:val="00B852D8"/>
    <w:pPr>
      <w:spacing w:after="0" w:line="240" w:lineRule="auto"/>
    </w:pPr>
    <w:rPr>
      <w:lang w:val="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3">
    <w:name w:val="Medium Grid 3 Accent 3"/>
    <w:basedOn w:val="a1"/>
    <w:uiPriority w:val="69"/>
    <w:rsid w:val="00B852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paragraph" w:styleId="a6">
    <w:name w:val="Balloon Text"/>
    <w:basedOn w:val="a"/>
    <w:link w:val="a7"/>
    <w:uiPriority w:val="99"/>
    <w:semiHidden/>
    <w:unhideWhenUsed/>
    <w:rsid w:val="00B852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52D8"/>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www.foodmarket.spb.ru" TargetMode="Externa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11" Type="http://schemas.microsoft.com/office/2007/relationships/hdphoto" Target="media/hdphoto2.wdp"/><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40609869103982582"/>
          <c:y val="9.4548733555544814E-2"/>
          <c:w val="0.48012574794710144"/>
          <c:h val="0.85254947426050276"/>
        </c:manualLayout>
      </c:layout>
      <c:bar3DChart>
        <c:barDir val="bar"/>
        <c:grouping val="clustered"/>
        <c:varyColors val="0"/>
        <c:ser>
          <c:idx val="0"/>
          <c:order val="0"/>
          <c:tx>
            <c:strRef>
              <c:f>Лист1!$B$1</c:f>
              <c:strCache>
                <c:ptCount val="1"/>
                <c:pt idx="0">
                  <c:v>Ряд 1</c:v>
                </c:pt>
              </c:strCache>
            </c:strRef>
          </c:tx>
          <c:invertIfNegative val="0"/>
          <c:dLbls>
            <c:txPr>
              <a:bodyPr/>
              <a:lstStyle/>
              <a:p>
                <a:pPr>
                  <a:defRPr sz="900" b="1"/>
                </a:pPr>
                <a:endParaRPr lang="ru-RU"/>
              </a:p>
            </c:txPr>
            <c:showLegendKey val="0"/>
            <c:showVal val="1"/>
            <c:showCatName val="0"/>
            <c:showSerName val="0"/>
            <c:showPercent val="0"/>
            <c:showBubbleSize val="0"/>
            <c:showLeaderLines val="0"/>
          </c:dLbls>
          <c:cat>
            <c:strRef>
              <c:f>Лист1!$A$2:$A$11</c:f>
              <c:strCache>
                <c:ptCount val="10"/>
                <c:pt idx="0">
                  <c:v>ябълков</c:v>
                </c:pt>
                <c:pt idx="1">
                  <c:v>смес от плодови сокове</c:v>
                </c:pt>
                <c:pt idx="2">
                  <c:v>доматен</c:v>
                </c:pt>
                <c:pt idx="3">
                  <c:v>портокалов</c:v>
                </c:pt>
                <c:pt idx="4">
                  <c:v>смеси от концентрирани сокове </c:v>
                </c:pt>
                <c:pt idx="5">
                  <c:v>ананасов</c:v>
                </c:pt>
                <c:pt idx="6">
                  <c:v>гроздов</c:v>
                </c:pt>
                <c:pt idx="7">
                  <c:v>смеси от плодови и зеленчукови</c:v>
                </c:pt>
                <c:pt idx="8">
                  <c:v>грейпфрут</c:v>
                </c:pt>
                <c:pt idx="9">
                  <c:v>други сокове от плодове и зеленчуци</c:v>
                </c:pt>
              </c:strCache>
            </c:strRef>
          </c:cat>
          <c:val>
            <c:numRef>
              <c:f>Лист1!$B$2:$B$11</c:f>
              <c:numCache>
                <c:formatCode>General</c:formatCode>
                <c:ptCount val="10"/>
                <c:pt idx="0">
                  <c:v>29.4</c:v>
                </c:pt>
                <c:pt idx="1">
                  <c:v>29.4</c:v>
                </c:pt>
                <c:pt idx="2">
                  <c:v>15.5</c:v>
                </c:pt>
                <c:pt idx="3">
                  <c:v>5.7</c:v>
                </c:pt>
                <c:pt idx="4">
                  <c:v>3.1</c:v>
                </c:pt>
                <c:pt idx="5">
                  <c:v>1.1000000000000001</c:v>
                </c:pt>
                <c:pt idx="6">
                  <c:v>1</c:v>
                </c:pt>
                <c:pt idx="7">
                  <c:v>0.6</c:v>
                </c:pt>
                <c:pt idx="8">
                  <c:v>0.3</c:v>
                </c:pt>
                <c:pt idx="9">
                  <c:v>13.8</c:v>
                </c:pt>
              </c:numCache>
            </c:numRef>
          </c:val>
        </c:ser>
        <c:dLbls>
          <c:showLegendKey val="0"/>
          <c:showVal val="1"/>
          <c:showCatName val="0"/>
          <c:showSerName val="0"/>
          <c:showPercent val="0"/>
          <c:showBubbleSize val="0"/>
        </c:dLbls>
        <c:gapWidth val="150"/>
        <c:shape val="cylinder"/>
        <c:axId val="232538112"/>
        <c:axId val="232540800"/>
        <c:axId val="0"/>
      </c:bar3DChart>
      <c:catAx>
        <c:axId val="232538112"/>
        <c:scaling>
          <c:orientation val="maxMin"/>
        </c:scaling>
        <c:delete val="0"/>
        <c:axPos val="l"/>
        <c:majorTickMark val="out"/>
        <c:minorTickMark val="none"/>
        <c:tickLblPos val="nextTo"/>
        <c:txPr>
          <a:bodyPr/>
          <a:lstStyle/>
          <a:p>
            <a:pPr>
              <a:defRPr sz="900"/>
            </a:pPr>
            <a:endParaRPr lang="ru-RU"/>
          </a:p>
        </c:txPr>
        <c:crossAx val="232540800"/>
        <c:crosses val="autoZero"/>
        <c:auto val="1"/>
        <c:lblAlgn val="ctr"/>
        <c:lblOffset val="100"/>
        <c:noMultiLvlLbl val="0"/>
      </c:catAx>
      <c:valAx>
        <c:axId val="232540800"/>
        <c:scaling>
          <c:orientation val="minMax"/>
        </c:scaling>
        <c:delete val="0"/>
        <c:axPos val="t"/>
        <c:majorGridlines/>
        <c:numFmt formatCode="General" sourceLinked="1"/>
        <c:majorTickMark val="out"/>
        <c:minorTickMark val="none"/>
        <c:tickLblPos val="nextTo"/>
        <c:crossAx val="232538112"/>
        <c:crosses val="autoZero"/>
        <c:crossBetween val="between"/>
      </c:valAx>
    </c:plotArea>
    <c:plotVisOnly val="1"/>
    <c:dispBlanksAs val="gap"/>
    <c:showDLblsOverMax val="0"/>
  </c:chart>
  <c:spPr>
    <a:solidFill>
      <a:schemeClr val="tx2">
        <a:lumMod val="20000"/>
        <a:lumOff val="80000"/>
      </a:schemeClr>
    </a:solid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dLbl>
              <c:idx val="0"/>
              <c:layout>
                <c:manualLayout>
                  <c:x val="3.3783783783783786E-3"/>
                  <c:y val="-5.0793650793650807E-2"/>
                </c:manualLayout>
              </c:layout>
              <c:showLegendKey val="0"/>
              <c:showVal val="1"/>
              <c:showCatName val="0"/>
              <c:showSerName val="0"/>
              <c:showPercent val="0"/>
              <c:showBubbleSize val="0"/>
            </c:dLbl>
            <c:dLbl>
              <c:idx val="1"/>
              <c:layout>
                <c:manualLayout>
                  <c:x val="0"/>
                  <c:y val="-1.2698412698412698E-2"/>
                </c:manualLayout>
              </c:layout>
              <c:showLegendKey val="0"/>
              <c:showVal val="1"/>
              <c:showCatName val="0"/>
              <c:showSerName val="0"/>
              <c:showPercent val="0"/>
              <c:showBubbleSize val="0"/>
            </c:dLbl>
            <c:dLbl>
              <c:idx val="2"/>
              <c:layout>
                <c:manualLayout>
                  <c:x val="0"/>
                  <c:y val="-3.8095238095238099E-2"/>
                </c:manualLayout>
              </c:layout>
              <c:showLegendKey val="0"/>
              <c:showVal val="1"/>
              <c:showCatName val="0"/>
              <c:showSerName val="0"/>
              <c:showPercent val="0"/>
              <c:showBubbleSize val="0"/>
            </c:dLbl>
            <c:txPr>
              <a:bodyPr/>
              <a:lstStyle/>
              <a:p>
                <a:pPr>
                  <a:defRPr sz="900" b="1"/>
                </a:pPr>
                <a:endParaRPr lang="ru-RU"/>
              </a:p>
            </c:txPr>
            <c:showLegendKey val="0"/>
            <c:showVal val="1"/>
            <c:showCatName val="0"/>
            <c:showSerName val="0"/>
            <c:showPercent val="0"/>
            <c:showBubbleSize val="0"/>
            <c:showLeaderLines val="0"/>
          </c:dLbls>
          <c:cat>
            <c:strRef>
              <c:f>Лист1!$A$2:$A$5</c:f>
              <c:strCache>
                <c:ptCount val="4"/>
                <c:pt idx="0">
                  <c:v>2017 г.</c:v>
                </c:pt>
                <c:pt idx="1">
                  <c:v>2018 г.</c:v>
                </c:pt>
                <c:pt idx="2">
                  <c:v>2019 г.</c:v>
                </c:pt>
                <c:pt idx="3">
                  <c:v>януари-март 2020 г.</c:v>
                </c:pt>
              </c:strCache>
            </c:strRef>
          </c:cat>
          <c:val>
            <c:numRef>
              <c:f>Лист1!$B$2:$B$5</c:f>
              <c:numCache>
                <c:formatCode>#,##0</c:formatCode>
                <c:ptCount val="4"/>
                <c:pt idx="0">
                  <c:v>1069456</c:v>
                </c:pt>
                <c:pt idx="1">
                  <c:v>1151588</c:v>
                </c:pt>
                <c:pt idx="2">
                  <c:v>1107573</c:v>
                </c:pt>
                <c:pt idx="3">
                  <c:v>220747</c:v>
                </c:pt>
              </c:numCache>
            </c:numRef>
          </c:val>
        </c:ser>
        <c:dLbls>
          <c:showLegendKey val="0"/>
          <c:showVal val="0"/>
          <c:showCatName val="0"/>
          <c:showSerName val="0"/>
          <c:showPercent val="0"/>
          <c:showBubbleSize val="0"/>
        </c:dLbls>
        <c:gapWidth val="150"/>
        <c:axId val="231703296"/>
        <c:axId val="231704832"/>
      </c:barChart>
      <c:catAx>
        <c:axId val="231703296"/>
        <c:scaling>
          <c:orientation val="minMax"/>
        </c:scaling>
        <c:delete val="0"/>
        <c:axPos val="b"/>
        <c:majorTickMark val="out"/>
        <c:minorTickMark val="none"/>
        <c:tickLblPos val="nextTo"/>
        <c:txPr>
          <a:bodyPr/>
          <a:lstStyle/>
          <a:p>
            <a:pPr>
              <a:defRPr sz="900" b="1"/>
            </a:pPr>
            <a:endParaRPr lang="ru-RU"/>
          </a:p>
        </c:txPr>
        <c:crossAx val="231704832"/>
        <c:crosses val="autoZero"/>
        <c:auto val="1"/>
        <c:lblAlgn val="ctr"/>
        <c:lblOffset val="100"/>
        <c:noMultiLvlLbl val="0"/>
      </c:catAx>
      <c:valAx>
        <c:axId val="231704832"/>
        <c:scaling>
          <c:orientation val="minMax"/>
        </c:scaling>
        <c:delete val="0"/>
        <c:axPos val="l"/>
        <c:majorGridlines/>
        <c:numFmt formatCode="#,##0" sourceLinked="1"/>
        <c:majorTickMark val="out"/>
        <c:minorTickMark val="none"/>
        <c:tickLblPos val="nextTo"/>
        <c:crossAx val="231703296"/>
        <c:crosses val="autoZero"/>
        <c:crossBetween val="between"/>
      </c:valAx>
      <c:spPr>
        <a:solidFill>
          <a:schemeClr val="tx2">
            <a:lumMod val="20000"/>
            <a:lumOff val="80000"/>
          </a:schemeClr>
        </a:solidFill>
      </c:spPr>
    </c:plotArea>
    <c:plotVisOnly val="1"/>
    <c:dispBlanksAs val="gap"/>
    <c:showDLblsOverMax val="0"/>
  </c:chart>
  <c:spPr>
    <a:solidFill>
      <a:schemeClr val="tx2">
        <a:lumMod val="20000"/>
        <a:lumOff val="80000"/>
      </a:schemeClr>
    </a:solid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4738387263635841"/>
          <c:y val="0.12277381080789559"/>
          <c:w val="0.4270564974998563"/>
          <c:h val="0.82636638640508919"/>
        </c:manualLayout>
      </c:layout>
      <c:pieChart>
        <c:varyColors val="1"/>
        <c:ser>
          <c:idx val="0"/>
          <c:order val="0"/>
          <c:tx>
            <c:strRef>
              <c:f>Лист1!$B$1</c:f>
              <c:strCache>
                <c:ptCount val="1"/>
                <c:pt idx="0">
                  <c:v>Продажи</c:v>
                </c:pt>
              </c:strCache>
            </c:strRef>
          </c:tx>
          <c:dLbls>
            <c:dLbl>
              <c:idx val="4"/>
              <c:layout>
                <c:manualLayout>
                  <c:x val="-9.7022817403299034E-3"/>
                  <c:y val="-8.366499642090193E-3"/>
                </c:manualLayout>
              </c:layout>
              <c:showLegendKey val="0"/>
              <c:showVal val="1"/>
              <c:showCatName val="0"/>
              <c:showSerName val="0"/>
              <c:showPercent val="0"/>
              <c:showBubbleSize val="0"/>
            </c:dLbl>
            <c:dLbl>
              <c:idx val="5"/>
              <c:layout>
                <c:manualLayout>
                  <c:x val="4.9737571124777287E-2"/>
                  <c:y val="6.994580222926679E-5"/>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1"/>
          </c:dLbls>
          <c:cat>
            <c:strRef>
              <c:f>Лист1!$A$2:$A$7</c:f>
              <c:strCache>
                <c:ptCount val="6"/>
                <c:pt idx="0">
                  <c:v>Приволжски ФО</c:v>
                </c:pt>
                <c:pt idx="1">
                  <c:v>Южен ФО</c:v>
                </c:pt>
                <c:pt idx="2">
                  <c:v>Централен ФО</c:v>
                </c:pt>
                <c:pt idx="3">
                  <c:v>Северен ФО</c:v>
                </c:pt>
                <c:pt idx="4">
                  <c:v>Далекоизточен ФО</c:v>
                </c:pt>
                <c:pt idx="5">
                  <c:v>Други</c:v>
                </c:pt>
              </c:strCache>
            </c:strRef>
          </c:cat>
          <c:val>
            <c:numRef>
              <c:f>Лист1!$B$2:$B$7</c:f>
              <c:numCache>
                <c:formatCode>General</c:formatCode>
                <c:ptCount val="6"/>
                <c:pt idx="0">
                  <c:v>44.27</c:v>
                </c:pt>
                <c:pt idx="1">
                  <c:v>30.75</c:v>
                </c:pt>
                <c:pt idx="2">
                  <c:v>12.17</c:v>
                </c:pt>
                <c:pt idx="3">
                  <c:v>8.1</c:v>
                </c:pt>
                <c:pt idx="4">
                  <c:v>3.17</c:v>
                </c:pt>
                <c:pt idx="5">
                  <c:v>1.54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9750514397379162"/>
          <c:y val="0.1870195316494529"/>
          <c:w val="0.2857065348583252"/>
          <c:h val="0.61298011477378889"/>
        </c:manualLayout>
      </c:layout>
      <c:overlay val="0"/>
    </c:legend>
    <c:plotVisOnly val="1"/>
    <c:dispBlanksAs val="gap"/>
    <c:showDLblsOverMax val="0"/>
  </c:chart>
  <c:spPr>
    <a:solidFill>
      <a:schemeClr val="tx2">
        <a:lumMod val="20000"/>
        <a:lumOff val="80000"/>
      </a:schemeClr>
    </a:solid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859</Words>
  <Characters>4897</Characters>
  <Application>Microsoft Office Word</Application>
  <DocSecurity>0</DocSecurity>
  <Lines>40</Lines>
  <Paragraphs>11</Paragraphs>
  <ScaleCrop>false</ScaleCrop>
  <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2020-08-06T09:17:00Z</dcterms:created>
  <dcterms:modified xsi:type="dcterms:W3CDTF">2020-08-06T09:18:00Z</dcterms:modified>
</cp:coreProperties>
</file>