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7" w:rsidRDefault="00976B87" w:rsidP="0097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976B87" w:rsidRPr="00976B87" w:rsidRDefault="00976B87" w:rsidP="00976B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5A79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6523C0" wp14:editId="3219525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395855" cy="1524000"/>
            <wp:effectExtent l="0" t="0" r="4445" b="0"/>
            <wp:wrapSquare wrapText="bothSides"/>
            <wp:docPr id="13" name="Рисунок 13" descr="https://lh3.googleusercontent.com/-2hm2jFORvzs/UjWg1Q981JI/AAAAAAAAAJk/bUa2J0ckTEk/w604-h384-no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2hm2jFORvzs/UjWg1Q981JI/AAAAAAAAAJk/bUa2J0ckTEk/w604-h384-no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911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ПРЕГЛЕД НА ПАЗАР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А</w:t>
      </w:r>
      <w:r w:rsidRPr="005A7911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НА ПЛОДОВИ И ЗЕЛЕНЧУКОВИ СОКОВЕ </w:t>
      </w:r>
      <w:r w:rsidRPr="00AB131D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В РУСИЯ</w:t>
      </w:r>
    </w:p>
    <w:p w:rsidR="00976B87" w:rsidRDefault="00976B87" w:rsidP="00976B87">
      <w:pPr>
        <w:spacing w:after="0"/>
        <w:ind w:firstLine="708"/>
        <w:jc w:val="right"/>
      </w:pPr>
    </w:p>
    <w:p w:rsidR="00976B87" w:rsidRPr="003C3CAE" w:rsidRDefault="00976B87" w:rsidP="006D313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>През последните четири години на руския пазар на плодови и зеленчукови сокове* се наблюдава тенденция на умерен ръст на производствените обеми.</w:t>
      </w:r>
    </w:p>
    <w:p w:rsidR="00976B87" w:rsidRPr="003C3CAE" w:rsidRDefault="00976B87" w:rsidP="006D313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>В края на 2014 г.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производството достигна</w:t>
      </w: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2,6 милиарда стандартни кутии, което леко превишава показателите от 2013 г.</w:t>
      </w:r>
    </w:p>
    <w:p w:rsidR="00976B87" w:rsidRDefault="00976B87" w:rsidP="006D3135">
      <w:pPr>
        <w:spacing w:after="0"/>
        <w:ind w:firstLine="708"/>
        <w:jc w:val="both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>В началото на 2015 г. динамиката се промен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значително. През първото тримесечие на годината, поради по-ниската покупателна способност на населението и влошаването на общите икономически условия за бизнес в страната - нестабилност на валутния пазар и високите лихви по заемите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обем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производство на плодови и зеленчукови сокове, в сравнение с периода януари-март 2014 г.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3C3CA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спаднал с 18,1% до 513 милиона стандартни кутии.</w:t>
      </w:r>
    </w:p>
    <w:p w:rsidR="00976B87" w:rsidRPr="002832A5" w:rsidRDefault="00976B87" w:rsidP="00976B87">
      <w:pPr>
        <w:spacing w:after="0" w:line="240" w:lineRule="auto"/>
        <w:ind w:firstLine="708"/>
        <w:jc w:val="center"/>
        <w:rPr>
          <w:sz w:val="18"/>
          <w:szCs w:val="18"/>
          <w:lang w:val="bg-BG"/>
        </w:rPr>
      </w:pPr>
      <w:r w:rsidRPr="002832A5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Динамика на производството на плодови и зеленчукови сокове в Русия</w:t>
      </w:r>
      <w:r w:rsidRPr="002832A5">
        <w:rPr>
          <w:sz w:val="18"/>
          <w:szCs w:val="18"/>
          <w:lang w:val="bg-BG"/>
        </w:rPr>
        <w:t xml:space="preserve"> </w:t>
      </w:r>
    </w:p>
    <w:p w:rsidR="00976B87" w:rsidRPr="00AB131D" w:rsidRDefault="00976B87" w:rsidP="00976B87">
      <w:pPr>
        <w:shd w:val="clear" w:color="auto" w:fill="C6D9F1" w:themeFill="text2" w:themeFillTint="33"/>
        <w:spacing w:after="0"/>
        <w:ind w:firstLine="708"/>
        <w:jc w:val="center"/>
        <w:rPr>
          <w:lang w:val="bg-BG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278652" wp14:editId="7558E003">
            <wp:extent cx="5134131" cy="227100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6B87" w:rsidRDefault="00976B87" w:rsidP="006D3135">
      <w:pPr>
        <w:jc w:val="both"/>
      </w:pPr>
      <w:proofErr w:type="spellStart"/>
      <w:r>
        <w:t>Заслужава</w:t>
      </w:r>
      <w:proofErr w:type="spellEnd"/>
      <w:r>
        <w:t xml:space="preserve"> да се </w:t>
      </w:r>
      <w:proofErr w:type="spellStart"/>
      <w:r>
        <w:t>отбележи</w:t>
      </w:r>
      <w:proofErr w:type="spellEnd"/>
      <w:r>
        <w:t xml:space="preserve">, че </w:t>
      </w:r>
      <w:proofErr w:type="spellStart"/>
      <w:r>
        <w:t>най-големите</w:t>
      </w:r>
      <w:proofErr w:type="spellEnd"/>
      <w:r>
        <w:t xml:space="preserve"> производители на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вносни</w:t>
      </w:r>
      <w:proofErr w:type="spellEnd"/>
      <w:r>
        <w:t xml:space="preserve"> </w:t>
      </w:r>
      <w:proofErr w:type="spellStart"/>
      <w:r>
        <w:t>концентрати</w:t>
      </w:r>
      <w:proofErr w:type="spellEnd"/>
      <w:r>
        <w:t xml:space="preserve"> и </w:t>
      </w:r>
      <w:proofErr w:type="spellStart"/>
      <w:r>
        <w:t>колебанията</w:t>
      </w:r>
      <w:proofErr w:type="spellEnd"/>
      <w:r>
        <w:t xml:space="preserve"> на </w:t>
      </w:r>
      <w:proofErr w:type="spellStart"/>
      <w:r>
        <w:t>валутния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 в края на 2014 г. и </w:t>
      </w:r>
      <w:proofErr w:type="spellStart"/>
      <w:r>
        <w:t>началото</w:t>
      </w:r>
      <w:proofErr w:type="spellEnd"/>
      <w:r>
        <w:t xml:space="preserve"> на 2015 г.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съществено</w:t>
      </w:r>
      <w:proofErr w:type="spellEnd"/>
      <w:r>
        <w:t xml:space="preserve"> влияние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стабилността</w:t>
      </w:r>
      <w:proofErr w:type="spellEnd"/>
      <w:r>
        <w:t xml:space="preserve"> на </w:t>
      </w:r>
      <w:proofErr w:type="spellStart"/>
      <w:r>
        <w:t>руските</w:t>
      </w:r>
      <w:proofErr w:type="spellEnd"/>
      <w:r>
        <w:t xml:space="preserve"> компании.</w:t>
      </w:r>
    </w:p>
    <w:p w:rsidR="00976B87" w:rsidRDefault="00976B87" w:rsidP="006D3135">
      <w:pPr>
        <w:jc w:val="both"/>
      </w:pPr>
      <w:proofErr w:type="spellStart"/>
      <w:proofErr w:type="gramStart"/>
      <w:r>
        <w:t>Според</w:t>
      </w:r>
      <w:proofErr w:type="spellEnd"/>
      <w:r>
        <w:t xml:space="preserve"> </w:t>
      </w:r>
      <w:proofErr w:type="spellStart"/>
      <w:r>
        <w:t>съюза</w:t>
      </w:r>
      <w:proofErr w:type="spellEnd"/>
      <w:r>
        <w:t xml:space="preserve"> на </w:t>
      </w:r>
      <w:proofErr w:type="spellStart"/>
      <w:r>
        <w:t>производителите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делът</w:t>
      </w:r>
      <w:proofErr w:type="spellEnd"/>
      <w:r>
        <w:t xml:space="preserve"> на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суровини</w:t>
      </w:r>
      <w:proofErr w:type="spellEnd"/>
      <w:r>
        <w:t xml:space="preserve"> в </w:t>
      </w:r>
      <w:proofErr w:type="spellStart"/>
      <w:r>
        <w:t>производството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е само 15%. С </w:t>
      </w:r>
      <w:proofErr w:type="spellStart"/>
      <w:r>
        <w:t>въвеждането</w:t>
      </w:r>
      <w:proofErr w:type="spellEnd"/>
      <w:r>
        <w:t xml:space="preserve"> на </w:t>
      </w:r>
      <w:proofErr w:type="spellStart"/>
      <w:r>
        <w:t>забраната</w:t>
      </w:r>
      <w:proofErr w:type="spellEnd"/>
      <w:r>
        <w:t xml:space="preserve"> за доставка на </w:t>
      </w:r>
      <w:proofErr w:type="spellStart"/>
      <w:r>
        <w:t>плодове</w:t>
      </w:r>
      <w:proofErr w:type="spellEnd"/>
      <w:r>
        <w:t xml:space="preserve"> и </w:t>
      </w:r>
      <w:proofErr w:type="spellStart"/>
      <w:r>
        <w:t>зеленчуци</w:t>
      </w:r>
      <w:proofErr w:type="spellEnd"/>
      <w:r>
        <w:t xml:space="preserve"> от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и </w:t>
      </w:r>
      <w:proofErr w:type="spellStart"/>
      <w:r>
        <w:t>редица</w:t>
      </w:r>
      <w:proofErr w:type="spellEnd"/>
      <w:r>
        <w:t xml:space="preserve"> западни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руските</w:t>
      </w:r>
      <w:proofErr w:type="spellEnd"/>
      <w:r>
        <w:t xml:space="preserve"> производители се стремят да </w:t>
      </w:r>
      <w:proofErr w:type="spellStart"/>
      <w:r>
        <w:t>разширят</w:t>
      </w:r>
      <w:proofErr w:type="spellEnd"/>
      <w:r>
        <w:t xml:space="preserve"> </w:t>
      </w:r>
      <w:proofErr w:type="spellStart"/>
      <w:r>
        <w:t>плантациите</w:t>
      </w:r>
      <w:proofErr w:type="spellEnd"/>
      <w:r>
        <w:t xml:space="preserve"> за </w:t>
      </w:r>
      <w:proofErr w:type="spellStart"/>
      <w:r>
        <w:t>плодове</w:t>
      </w:r>
      <w:proofErr w:type="spellEnd"/>
      <w:r>
        <w:t xml:space="preserve"> и </w:t>
      </w:r>
      <w:proofErr w:type="spellStart"/>
      <w:r>
        <w:t>зеленчуци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на </w:t>
      </w:r>
      <w:proofErr w:type="spellStart"/>
      <w:r>
        <w:t>програмата</w:t>
      </w:r>
      <w:proofErr w:type="spellEnd"/>
      <w:r>
        <w:t xml:space="preserve"> за </w:t>
      </w:r>
      <w:proofErr w:type="spellStart"/>
      <w:r>
        <w:t>заместване</w:t>
      </w:r>
      <w:proofErr w:type="spellEnd"/>
      <w:r>
        <w:t xml:space="preserve"> на вноса.</w:t>
      </w:r>
      <w:proofErr w:type="gramEnd"/>
      <w:r>
        <w:t xml:space="preserve"> В </w:t>
      </w:r>
      <w:proofErr w:type="spellStart"/>
      <w:r>
        <w:t>бъдеще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съществено</w:t>
      </w:r>
      <w:proofErr w:type="spellEnd"/>
      <w:r>
        <w:t xml:space="preserve"> за </w:t>
      </w:r>
      <w:proofErr w:type="spellStart"/>
      <w:r>
        <w:t>увеличаване</w:t>
      </w:r>
      <w:proofErr w:type="spellEnd"/>
      <w:r>
        <w:t xml:space="preserve"> на дела на </w:t>
      </w:r>
      <w:proofErr w:type="spellStart"/>
      <w:r>
        <w:t>руските</w:t>
      </w:r>
      <w:proofErr w:type="spellEnd"/>
      <w:r>
        <w:t xml:space="preserve"> </w:t>
      </w:r>
      <w:proofErr w:type="spellStart"/>
      <w:r>
        <w:t>суровини</w:t>
      </w:r>
      <w:proofErr w:type="spellEnd"/>
      <w:r>
        <w:t xml:space="preserve"> в </w:t>
      </w:r>
      <w:proofErr w:type="spellStart"/>
      <w:r>
        <w:t>производството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. В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за развитие на </w:t>
      </w:r>
      <w:proofErr w:type="spellStart"/>
      <w:r>
        <w:t>земеделието</w:t>
      </w:r>
      <w:proofErr w:type="spellEnd"/>
      <w:r>
        <w:t xml:space="preserve"> и </w:t>
      </w:r>
      <w:proofErr w:type="spellStart"/>
      <w:r>
        <w:t>регулиране</w:t>
      </w:r>
      <w:proofErr w:type="spellEnd"/>
      <w:r>
        <w:t xml:space="preserve"> на </w:t>
      </w:r>
      <w:proofErr w:type="spellStart"/>
      <w:r>
        <w:t>пазара</w:t>
      </w:r>
      <w:proofErr w:type="spellEnd"/>
      <w:r>
        <w:t xml:space="preserve"> на </w:t>
      </w:r>
      <w:proofErr w:type="spellStart"/>
      <w:r>
        <w:t>селскостопанските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суровини</w:t>
      </w:r>
      <w:proofErr w:type="spellEnd"/>
      <w:r>
        <w:t xml:space="preserve"> и храни за 2013-2020 г. е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засаждането</w:t>
      </w:r>
      <w:proofErr w:type="spellEnd"/>
      <w:r>
        <w:t xml:space="preserve"> на </w:t>
      </w:r>
      <w:proofErr w:type="spellStart"/>
      <w:r>
        <w:t>многогодишни</w:t>
      </w:r>
      <w:proofErr w:type="spellEnd"/>
      <w:r>
        <w:t xml:space="preserve">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ягодоплодни</w:t>
      </w:r>
      <w:proofErr w:type="spellEnd"/>
      <w:r>
        <w:t xml:space="preserve"> насаждения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площ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6.4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хектара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г. Фактически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 xml:space="preserve"> 8000 </w:t>
      </w:r>
      <w:proofErr w:type="spellStart"/>
      <w:r>
        <w:t>хектара</w:t>
      </w:r>
      <w:proofErr w:type="spellEnd"/>
      <w:r>
        <w:t xml:space="preserve"> насаждения (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 и гр. </w:t>
      </w:r>
      <w:proofErr w:type="spellStart"/>
      <w:r>
        <w:t>Севастопол</w:t>
      </w:r>
      <w:proofErr w:type="spellEnd"/>
      <w:r>
        <w:t xml:space="preserve">). В </w:t>
      </w:r>
      <w:proofErr w:type="spellStart"/>
      <w:r>
        <w:t>бъдеще</w:t>
      </w:r>
      <w:proofErr w:type="spellEnd"/>
      <w:r>
        <w:t xml:space="preserve"> се </w:t>
      </w:r>
      <w:proofErr w:type="spellStart"/>
      <w:r>
        <w:t>планира</w:t>
      </w:r>
      <w:proofErr w:type="spellEnd"/>
      <w:r>
        <w:t xml:space="preserve"> ежегодно </w:t>
      </w:r>
      <w:proofErr w:type="spellStart"/>
      <w:r>
        <w:t>разширяване</w:t>
      </w:r>
      <w:proofErr w:type="spellEnd"/>
      <w:r>
        <w:t xml:space="preserve"> на </w:t>
      </w:r>
      <w:proofErr w:type="spellStart"/>
      <w:r>
        <w:t>площите</w:t>
      </w:r>
      <w:proofErr w:type="spellEnd"/>
      <w:r>
        <w:t xml:space="preserve"> до 2020 г., </w:t>
      </w:r>
      <w:proofErr w:type="spellStart"/>
      <w:r>
        <w:t>общо</w:t>
      </w:r>
      <w:proofErr w:type="spellEnd"/>
      <w:r>
        <w:t xml:space="preserve"> от 8 до 11,5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хектара</w:t>
      </w:r>
      <w:proofErr w:type="spellEnd"/>
      <w:r>
        <w:t>.</w:t>
      </w:r>
      <w:r>
        <w:rPr>
          <w:lang w:val="bg-BG"/>
        </w:rPr>
        <w:t xml:space="preserve">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отбележи</w:t>
      </w:r>
      <w:proofErr w:type="spellEnd"/>
      <w:r>
        <w:t xml:space="preserve">, че в </w:t>
      </w:r>
      <w:proofErr w:type="spellStart"/>
      <w:r>
        <w:t>промишлен</w:t>
      </w:r>
      <w:proofErr w:type="spellEnd"/>
      <w:r>
        <w:t xml:space="preserve"> </w:t>
      </w:r>
      <w:proofErr w:type="spellStart"/>
      <w:r>
        <w:t>мащаб</w:t>
      </w:r>
      <w:proofErr w:type="spellEnd"/>
      <w:r>
        <w:t xml:space="preserve"> </w:t>
      </w:r>
      <w:proofErr w:type="spellStart"/>
      <w:r>
        <w:t>реколта</w:t>
      </w:r>
      <w:proofErr w:type="spellEnd"/>
      <w:r>
        <w:t xml:space="preserve"> от </w:t>
      </w:r>
      <w:proofErr w:type="spellStart"/>
      <w:r>
        <w:t>ябълки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плодове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да се </w:t>
      </w:r>
      <w:proofErr w:type="spellStart"/>
      <w:r>
        <w:t>събира</w:t>
      </w:r>
      <w:proofErr w:type="spellEnd"/>
      <w:r>
        <w:t xml:space="preserve"> </w:t>
      </w:r>
      <w:proofErr w:type="spellStart"/>
      <w:r>
        <w:t>най-малко</w:t>
      </w:r>
      <w:proofErr w:type="spellEnd"/>
      <w:r>
        <w:t xml:space="preserve"> след пет </w:t>
      </w:r>
      <w:proofErr w:type="spellStart"/>
      <w:r>
        <w:t>години</w:t>
      </w:r>
      <w:proofErr w:type="spellEnd"/>
      <w:r>
        <w:t xml:space="preserve">. До </w:t>
      </w:r>
      <w:proofErr w:type="spellStart"/>
      <w:r>
        <w:t>този</w:t>
      </w:r>
      <w:proofErr w:type="spellEnd"/>
      <w:r>
        <w:t xml:space="preserve"> момент </w:t>
      </w:r>
      <w:proofErr w:type="spellStart"/>
      <w:r>
        <w:t>преработвателните</w:t>
      </w:r>
      <w:proofErr w:type="spellEnd"/>
      <w:r>
        <w:t xml:space="preserve"> предприятия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ориентират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доставчици</w:t>
      </w:r>
      <w:proofErr w:type="spellEnd"/>
      <w:r>
        <w:t xml:space="preserve"> от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държави</w:t>
      </w:r>
      <w:proofErr w:type="spellEnd"/>
      <w:r>
        <w:t>.</w:t>
      </w:r>
    </w:p>
    <w:p w:rsidR="00976B87" w:rsidRDefault="00976B87" w:rsidP="006D3135">
      <w:pPr>
        <w:jc w:val="both"/>
        <w:rPr>
          <w:lang w:val="bg-BG"/>
        </w:rPr>
      </w:pPr>
      <w:r>
        <w:t xml:space="preserve">В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соковете</w:t>
      </w:r>
      <w:proofErr w:type="spellEnd"/>
      <w:r>
        <w:t xml:space="preserve"> от </w:t>
      </w:r>
      <w:proofErr w:type="spellStart"/>
      <w:r>
        <w:t>ябълки</w:t>
      </w:r>
      <w:proofErr w:type="spellEnd"/>
      <w:r>
        <w:t xml:space="preserve">, </w:t>
      </w:r>
      <w:proofErr w:type="spellStart"/>
      <w:r>
        <w:t>домати</w:t>
      </w:r>
      <w:proofErr w:type="spellEnd"/>
      <w:r>
        <w:t xml:space="preserve"> и </w:t>
      </w:r>
      <w:proofErr w:type="spellStart"/>
      <w:r>
        <w:t>портокали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сокове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тропически и </w:t>
      </w:r>
      <w:proofErr w:type="spellStart"/>
      <w:r>
        <w:t>субтропически</w:t>
      </w:r>
      <w:proofErr w:type="spellEnd"/>
      <w:r>
        <w:t xml:space="preserve"> </w:t>
      </w:r>
      <w:proofErr w:type="spellStart"/>
      <w:r>
        <w:t>плодове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от </w:t>
      </w:r>
      <w:proofErr w:type="spellStart"/>
      <w:r>
        <w:t>общото</w:t>
      </w:r>
      <w:proofErr w:type="spellEnd"/>
      <w:r>
        <w:t xml:space="preserve"> производство.</w:t>
      </w:r>
    </w:p>
    <w:p w:rsidR="00976B87" w:rsidRPr="00976B87" w:rsidRDefault="00976B87" w:rsidP="00976B87">
      <w:pPr>
        <w:rPr>
          <w:lang w:val="bg-BG"/>
        </w:rPr>
      </w:pPr>
      <w:r w:rsidRPr="00976B87">
        <w:rPr>
          <w:lang w:val="bg-BG"/>
        </w:rPr>
        <w:lastRenderedPageBreak/>
        <w:t>Структура на производството на плодови и зеленчукови сокове в Русия</w:t>
      </w:r>
      <w:r>
        <w:rPr>
          <w:lang w:val="bg-BG"/>
        </w:rPr>
        <w:t>.</w:t>
      </w:r>
      <w:r>
        <w:rPr>
          <w:noProof/>
          <w:lang w:eastAsia="ru-RU"/>
        </w:rPr>
        <w:drawing>
          <wp:inline distT="0" distB="0" distL="0" distR="0" wp14:anchorId="519E42C0" wp14:editId="3F73A0DC">
            <wp:extent cx="5501390" cy="2323475"/>
            <wp:effectExtent l="0" t="0" r="444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6B87" w:rsidRDefault="00976B87" w:rsidP="006D3135">
      <w:pPr>
        <w:jc w:val="both"/>
      </w:pPr>
      <w:r>
        <w:t xml:space="preserve">На </w:t>
      </w:r>
      <w:proofErr w:type="spellStart"/>
      <w:r>
        <w:t>регионално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водеща</w:t>
      </w:r>
      <w:proofErr w:type="spellEnd"/>
      <w:r>
        <w:t xml:space="preserve"> позиция </w:t>
      </w:r>
      <w:proofErr w:type="spellStart"/>
      <w:r>
        <w:t>заема</w:t>
      </w:r>
      <w:proofErr w:type="spellEnd"/>
      <w:r>
        <w:t xml:space="preserve"> </w:t>
      </w:r>
      <w:proofErr w:type="spellStart"/>
      <w:r>
        <w:t>Московска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, </w:t>
      </w:r>
      <w:proofErr w:type="spellStart"/>
      <w:r>
        <w:t>чийто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г. е бил 58,7% от </w:t>
      </w:r>
      <w:proofErr w:type="spellStart"/>
      <w:r>
        <w:t>общото</w:t>
      </w:r>
      <w:proofErr w:type="spellEnd"/>
      <w:r>
        <w:t xml:space="preserve"> производство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>.</w:t>
      </w:r>
    </w:p>
    <w:p w:rsidR="00976B87" w:rsidRDefault="00976B87" w:rsidP="006D3135">
      <w:pPr>
        <w:jc w:val="both"/>
      </w:pPr>
      <w:r>
        <w:t xml:space="preserve">Сред </w:t>
      </w:r>
      <w:proofErr w:type="spellStart"/>
      <w:r>
        <w:t>лидерите</w:t>
      </w:r>
      <w:proofErr w:type="spellEnd"/>
      <w:r>
        <w:t xml:space="preserve"> в </w:t>
      </w:r>
      <w:proofErr w:type="spellStart"/>
      <w:r>
        <w:t>производството</w:t>
      </w:r>
      <w:proofErr w:type="spellEnd"/>
      <w:r>
        <w:t xml:space="preserve">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г.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Самарска</w:t>
      </w:r>
      <w:proofErr w:type="spellEnd"/>
      <w:r>
        <w:t xml:space="preserve"> </w:t>
      </w:r>
      <w:proofErr w:type="spellStart"/>
      <w:proofErr w:type="gramStart"/>
      <w:r>
        <w:t>област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r>
        <w:t>Краснодарски</w:t>
      </w:r>
      <w:proofErr w:type="spellEnd"/>
      <w:r>
        <w:t xml:space="preserve"> край. В сравнение с 2013 г. </w:t>
      </w:r>
      <w:proofErr w:type="spellStart"/>
      <w:r>
        <w:t>производството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региони</w:t>
      </w:r>
      <w:proofErr w:type="spellEnd"/>
      <w:r>
        <w:t xml:space="preserve"> се е увеличило </w:t>
      </w:r>
      <w:proofErr w:type="spellStart"/>
      <w:r>
        <w:t>съответно</w:t>
      </w:r>
      <w:proofErr w:type="spellEnd"/>
      <w:r>
        <w:t xml:space="preserve"> с 21.2% и 54.7%.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2015 г., в сравнение с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2014 г., на </w:t>
      </w:r>
      <w:proofErr w:type="gramStart"/>
      <w:r>
        <w:t>фона</w:t>
      </w:r>
      <w:proofErr w:type="gramEnd"/>
      <w:r>
        <w:t xml:space="preserve"> на спада в </w:t>
      </w:r>
      <w:proofErr w:type="spellStart"/>
      <w:r>
        <w:t>производството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цяло</w:t>
      </w:r>
      <w:proofErr w:type="spellEnd"/>
      <w:r>
        <w:t xml:space="preserve">, в </w:t>
      </w:r>
      <w:proofErr w:type="spellStart"/>
      <w:r>
        <w:t>Самарска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се </w:t>
      </w:r>
      <w:proofErr w:type="spellStart"/>
      <w:r>
        <w:t>наблюдава</w:t>
      </w:r>
      <w:proofErr w:type="spellEnd"/>
      <w:r>
        <w:t xml:space="preserve"> </w:t>
      </w:r>
      <w:proofErr w:type="spellStart"/>
      <w:r>
        <w:t>увеличаване</w:t>
      </w:r>
      <w:proofErr w:type="spellEnd"/>
      <w:r>
        <w:t xml:space="preserve"> на </w:t>
      </w:r>
      <w:proofErr w:type="spellStart"/>
      <w:r>
        <w:t>производството</w:t>
      </w:r>
      <w:proofErr w:type="spellEnd"/>
      <w:r>
        <w:t xml:space="preserve"> с 35.2%.</w:t>
      </w:r>
    </w:p>
    <w:p w:rsidR="00976B87" w:rsidRDefault="00976B87" w:rsidP="006D3135">
      <w:pPr>
        <w:jc w:val="both"/>
      </w:pPr>
      <w:proofErr w:type="spellStart"/>
      <w:proofErr w:type="gramStart"/>
      <w:r>
        <w:t>През</w:t>
      </w:r>
      <w:proofErr w:type="spellEnd"/>
      <w:r>
        <w:t xml:space="preserve"> 2014 г. </w:t>
      </w:r>
      <w:proofErr w:type="spellStart"/>
      <w:r>
        <w:t>вносът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е бил 239.1 </w:t>
      </w:r>
      <w:proofErr w:type="spellStart"/>
      <w:r>
        <w:t>хиляди</w:t>
      </w:r>
      <w:proofErr w:type="spellEnd"/>
      <w:r>
        <w:t xml:space="preserve"> тона, </w:t>
      </w:r>
      <w:proofErr w:type="spellStart"/>
      <w:r>
        <w:t>което</w:t>
      </w:r>
      <w:proofErr w:type="spellEnd"/>
      <w:r>
        <w:t xml:space="preserve"> с 2.3% е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2013 г.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2015 г. </w:t>
      </w:r>
      <w:proofErr w:type="spellStart"/>
      <w:r>
        <w:t>вносът</w:t>
      </w:r>
      <w:proofErr w:type="spellEnd"/>
      <w:r>
        <w:t xml:space="preserve"> е </w:t>
      </w:r>
      <w:proofErr w:type="spellStart"/>
      <w:r>
        <w:t>намалял</w:t>
      </w:r>
      <w:proofErr w:type="spellEnd"/>
      <w:r>
        <w:t xml:space="preserve"> с 42,5% в сравнение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период на 2014 г. и е в размер на 32,7 </w:t>
      </w:r>
      <w:proofErr w:type="spellStart"/>
      <w:r>
        <w:t>хиляди</w:t>
      </w:r>
      <w:proofErr w:type="spellEnd"/>
      <w:r>
        <w:t xml:space="preserve"> тона **.</w:t>
      </w:r>
      <w:proofErr w:type="gramEnd"/>
    </w:p>
    <w:p w:rsidR="00976B87" w:rsidRDefault="00976B87" w:rsidP="006D3135">
      <w:pPr>
        <w:jc w:val="both"/>
        <w:rPr>
          <w:lang w:val="bg-BG"/>
        </w:rPr>
      </w:pPr>
      <w:r>
        <w:t xml:space="preserve">В края на 2014 г., </w:t>
      </w:r>
      <w:proofErr w:type="spellStart"/>
      <w:r>
        <w:t>най-голям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в </w:t>
      </w:r>
      <w:proofErr w:type="spellStart"/>
      <w:r>
        <w:t>структурата</w:t>
      </w:r>
      <w:proofErr w:type="spellEnd"/>
      <w:r>
        <w:t xml:space="preserve"> на доставки на </w:t>
      </w:r>
      <w:proofErr w:type="spellStart"/>
      <w:r>
        <w:t>сокове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чужбина, </w:t>
      </w:r>
      <w:proofErr w:type="spellStart"/>
      <w:r>
        <w:t>заемат</w:t>
      </w:r>
      <w:proofErr w:type="spellEnd"/>
      <w:r>
        <w:t xml:space="preserve"> </w:t>
      </w:r>
      <w:proofErr w:type="spellStart"/>
      <w:r>
        <w:t>ябълковият</w:t>
      </w:r>
      <w:proofErr w:type="spellEnd"/>
      <w:r>
        <w:t xml:space="preserve"> и </w:t>
      </w:r>
      <w:proofErr w:type="spellStart"/>
      <w:r>
        <w:t>портокаловият</w:t>
      </w:r>
      <w:proofErr w:type="spellEnd"/>
      <w:r>
        <w:t xml:space="preserve"> сок - </w:t>
      </w:r>
      <w:proofErr w:type="spellStart"/>
      <w:r>
        <w:t>съответно</w:t>
      </w:r>
      <w:proofErr w:type="spellEnd"/>
      <w:r>
        <w:t xml:space="preserve"> 45.6% и 20.4% от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>.</w:t>
      </w:r>
    </w:p>
    <w:p w:rsidR="00976B87" w:rsidRPr="00976B87" w:rsidRDefault="00976B87" w:rsidP="006D3135">
      <w:pPr>
        <w:jc w:val="both"/>
        <w:rPr>
          <w:lang w:val="bg-BG"/>
        </w:rPr>
      </w:pPr>
      <w:r>
        <w:t xml:space="preserve">Структура </w:t>
      </w:r>
      <w:proofErr w:type="gramStart"/>
      <w:r>
        <w:t>на</w:t>
      </w:r>
      <w:proofErr w:type="gramEnd"/>
      <w:r>
        <w:t xml:space="preserve"> вноса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по </w:t>
      </w:r>
      <w:proofErr w:type="spellStart"/>
      <w:r>
        <w:t>видове</w:t>
      </w:r>
      <w:proofErr w:type="spellEnd"/>
      <w:r>
        <w:rPr>
          <w:lang w:val="bg-BG"/>
        </w:rPr>
        <w:t>.</w:t>
      </w:r>
    </w:p>
    <w:p w:rsidR="00976B87" w:rsidRPr="00976B87" w:rsidRDefault="00976B87" w:rsidP="00976B87">
      <w:pPr>
        <w:rPr>
          <w:lang w:val="bg-BG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778945E" wp14:editId="67E0DE3F">
            <wp:extent cx="5373974" cy="2630773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B87" w:rsidRDefault="00976B87" w:rsidP="006D3135">
      <w:pPr>
        <w:jc w:val="both"/>
      </w:pPr>
      <w:bookmarkStart w:id="0" w:name="_GoBack"/>
      <w:proofErr w:type="spellStart"/>
      <w:r>
        <w:t>През</w:t>
      </w:r>
      <w:proofErr w:type="spellEnd"/>
      <w:r>
        <w:t xml:space="preserve"> 2014 г. </w:t>
      </w:r>
      <w:proofErr w:type="spellStart"/>
      <w:r>
        <w:t>лидери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вноса</w:t>
      </w:r>
      <w:proofErr w:type="gramEnd"/>
      <w:r>
        <w:t xml:space="preserve">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Китай, </w:t>
      </w:r>
      <w:proofErr w:type="spellStart"/>
      <w:r>
        <w:t>Холандия</w:t>
      </w:r>
      <w:proofErr w:type="spellEnd"/>
      <w:r>
        <w:t xml:space="preserve"> и Бразилия - </w:t>
      </w:r>
      <w:proofErr w:type="spellStart"/>
      <w:r>
        <w:t>делът</w:t>
      </w:r>
      <w:proofErr w:type="spellEnd"/>
      <w:r>
        <w:t xml:space="preserve"> на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съответно</w:t>
      </w:r>
      <w:proofErr w:type="spellEnd"/>
      <w:r>
        <w:t xml:space="preserve"> 27.9%, 12.5% и 8.5% от </w:t>
      </w:r>
      <w:proofErr w:type="spellStart"/>
      <w:r>
        <w:t>общия</w:t>
      </w:r>
      <w:proofErr w:type="spellEnd"/>
      <w:r>
        <w:t xml:space="preserve"> внос.</w:t>
      </w:r>
      <w:r>
        <w:rPr>
          <w:lang w:val="bg-BG"/>
        </w:rPr>
        <w:t xml:space="preserve"> </w:t>
      </w:r>
      <w:r>
        <w:t xml:space="preserve">В сравнение с 2013 г. </w:t>
      </w:r>
      <w:proofErr w:type="spellStart"/>
      <w:r>
        <w:t>през</w:t>
      </w:r>
      <w:proofErr w:type="spellEnd"/>
      <w:r>
        <w:t xml:space="preserve"> 2014 г. </w:t>
      </w:r>
      <w:proofErr w:type="spellStart"/>
      <w:r>
        <w:t>обемът</w:t>
      </w:r>
      <w:proofErr w:type="spellEnd"/>
      <w:r>
        <w:t xml:space="preserve"> на </w:t>
      </w:r>
      <w:proofErr w:type="spellStart"/>
      <w:r>
        <w:t>доставките</w:t>
      </w:r>
      <w:proofErr w:type="spellEnd"/>
      <w:r>
        <w:t xml:space="preserve"> от Китай се е увеличил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, а </w:t>
      </w:r>
      <w:proofErr w:type="spellStart"/>
      <w:r>
        <w:t>вносът</w:t>
      </w:r>
      <w:proofErr w:type="spellEnd"/>
      <w:r>
        <w:t xml:space="preserve"> от </w:t>
      </w:r>
      <w:proofErr w:type="spellStart"/>
      <w:r>
        <w:t>Холандия</w:t>
      </w:r>
      <w:proofErr w:type="spellEnd"/>
      <w:r>
        <w:t xml:space="preserve"> се е </w:t>
      </w:r>
      <w:r>
        <w:lastRenderedPageBreak/>
        <w:t xml:space="preserve">увеличил с 15%.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януари</w:t>
      </w:r>
      <w:proofErr w:type="spellEnd"/>
      <w:r>
        <w:t xml:space="preserve">-март 2015 г. на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по отношение на вноса на </w:t>
      </w:r>
      <w:proofErr w:type="spellStart"/>
      <w:r>
        <w:t>сокове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, е Бразилия с 26,4% </w:t>
      </w:r>
      <w:proofErr w:type="gramStart"/>
      <w:r>
        <w:t>от</w:t>
      </w:r>
      <w:proofErr w:type="gramEnd"/>
      <w:r>
        <w:t xml:space="preserve"> </w:t>
      </w:r>
      <w:proofErr w:type="spellStart"/>
      <w:r>
        <w:t>общия</w:t>
      </w:r>
      <w:proofErr w:type="spellEnd"/>
      <w:r>
        <w:t xml:space="preserve"> внос. По сравнение с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2014 г. </w:t>
      </w:r>
      <w:proofErr w:type="spellStart"/>
      <w:r>
        <w:t>руските</w:t>
      </w:r>
      <w:proofErr w:type="spellEnd"/>
      <w:r>
        <w:t xml:space="preserve"> компании </w:t>
      </w:r>
      <w:proofErr w:type="spellStart"/>
      <w:r>
        <w:t>са</w:t>
      </w:r>
      <w:proofErr w:type="spellEnd"/>
      <w:r>
        <w:t xml:space="preserve"> увеличили </w:t>
      </w:r>
      <w:proofErr w:type="spellStart"/>
      <w:r>
        <w:t>покупките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бразилско</w:t>
      </w:r>
      <w:proofErr w:type="spellEnd"/>
      <w:r>
        <w:t xml:space="preserve"> производство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четвърт</w:t>
      </w:r>
      <w:proofErr w:type="spellEnd"/>
      <w:r>
        <w:t>.</w:t>
      </w:r>
    </w:p>
    <w:p w:rsidR="00976B87" w:rsidRDefault="00976B87" w:rsidP="006D3135">
      <w:pPr>
        <w:jc w:val="both"/>
      </w:pPr>
      <w:proofErr w:type="spellStart"/>
      <w:r>
        <w:t>Делът</w:t>
      </w:r>
      <w:proofErr w:type="spellEnd"/>
      <w:r>
        <w:t xml:space="preserve"> на Китай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2015 г. </w:t>
      </w:r>
      <w:proofErr w:type="spellStart"/>
      <w:r>
        <w:t>възлиза</w:t>
      </w:r>
      <w:proofErr w:type="spellEnd"/>
      <w:r>
        <w:t xml:space="preserve"> едва на 1.7% от </w:t>
      </w:r>
      <w:proofErr w:type="spellStart"/>
      <w:r>
        <w:t>общия</w:t>
      </w:r>
      <w:proofErr w:type="spellEnd"/>
      <w:r>
        <w:t xml:space="preserve"> внос. </w:t>
      </w:r>
      <w:proofErr w:type="spellStart"/>
      <w:r>
        <w:t>Доставките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от </w:t>
      </w:r>
      <w:proofErr w:type="spellStart"/>
      <w:r>
        <w:t>тази</w:t>
      </w:r>
      <w:proofErr w:type="spellEnd"/>
      <w:r>
        <w:t xml:space="preserve"> страна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намалели</w:t>
      </w:r>
      <w:proofErr w:type="spellEnd"/>
      <w:r>
        <w:t xml:space="preserve"> в сравнение с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2014 г. с 94.8%. </w:t>
      </w:r>
      <w:proofErr w:type="spellStart"/>
      <w:r>
        <w:t>Резкият</w:t>
      </w:r>
      <w:proofErr w:type="spellEnd"/>
      <w:r>
        <w:t xml:space="preserve"> спад на вноса на </w:t>
      </w:r>
      <w:proofErr w:type="spellStart"/>
      <w:r>
        <w:t>китайски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растежът</w:t>
      </w:r>
      <w:proofErr w:type="spellEnd"/>
      <w:r>
        <w:t xml:space="preserve"> на вноса на </w:t>
      </w:r>
      <w:proofErr w:type="spellStart"/>
      <w:r>
        <w:t>бразилски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вероятно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ценовата</w:t>
      </w:r>
      <w:proofErr w:type="spellEnd"/>
      <w:r>
        <w:t xml:space="preserve"> политика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предприятията</w:t>
      </w:r>
      <w:proofErr w:type="spellEnd"/>
      <w:r>
        <w:t xml:space="preserve">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важна роля </w:t>
      </w:r>
      <w:proofErr w:type="spellStart"/>
      <w:r>
        <w:t>играе</w:t>
      </w:r>
      <w:proofErr w:type="spellEnd"/>
      <w:r>
        <w:t xml:space="preserve"> и </w:t>
      </w:r>
      <w:proofErr w:type="spellStart"/>
      <w:r>
        <w:t>преориентацията</w:t>
      </w:r>
      <w:proofErr w:type="spellEnd"/>
      <w:r>
        <w:t xml:space="preserve"> на </w:t>
      </w:r>
      <w:proofErr w:type="spellStart"/>
      <w:r>
        <w:t>руските</w:t>
      </w:r>
      <w:proofErr w:type="spellEnd"/>
      <w:r>
        <w:t xml:space="preserve"> потребители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отечествени</w:t>
      </w:r>
      <w:proofErr w:type="spellEnd"/>
      <w:r>
        <w:t xml:space="preserve"> и </w:t>
      </w:r>
      <w:proofErr w:type="spellStart"/>
      <w:r>
        <w:t>по-евтини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и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цяло</w:t>
      </w:r>
      <w:proofErr w:type="spellEnd"/>
      <w:r>
        <w:t xml:space="preserve"> </w:t>
      </w:r>
      <w:proofErr w:type="spellStart"/>
      <w:r>
        <w:t>намаляването</w:t>
      </w:r>
      <w:proofErr w:type="spellEnd"/>
      <w:r>
        <w:t xml:space="preserve"> на </w:t>
      </w:r>
      <w:proofErr w:type="spellStart"/>
      <w:r>
        <w:t>покупателната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на </w:t>
      </w:r>
      <w:proofErr w:type="spellStart"/>
      <w:r>
        <w:t>населението</w:t>
      </w:r>
      <w:proofErr w:type="spellEnd"/>
      <w:r>
        <w:t xml:space="preserve"> на </w:t>
      </w:r>
      <w:proofErr w:type="spellStart"/>
      <w:r>
        <w:t>Русия</w:t>
      </w:r>
      <w:proofErr w:type="spellEnd"/>
      <w:r>
        <w:t>.</w:t>
      </w:r>
    </w:p>
    <w:p w:rsidR="00976B87" w:rsidRDefault="00976B87" w:rsidP="006D3135">
      <w:pPr>
        <w:jc w:val="both"/>
      </w:pPr>
      <w:proofErr w:type="spellStart"/>
      <w:r>
        <w:t>Една</w:t>
      </w:r>
      <w:proofErr w:type="spellEnd"/>
      <w:r>
        <w:t xml:space="preserve"> от причините за </w:t>
      </w:r>
      <w:proofErr w:type="spellStart"/>
      <w:r>
        <w:t>увеличението</w:t>
      </w:r>
      <w:proofErr w:type="spellEnd"/>
      <w:r>
        <w:t xml:space="preserve"> на дела на </w:t>
      </w:r>
      <w:proofErr w:type="spellStart"/>
      <w:r>
        <w:t>Полша</w:t>
      </w:r>
      <w:proofErr w:type="spellEnd"/>
      <w:r>
        <w:t xml:space="preserve"> в </w:t>
      </w:r>
      <w:proofErr w:type="spellStart"/>
      <w:r>
        <w:t>структурата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вноса на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2015 г. е </w:t>
      </w:r>
      <w:proofErr w:type="spellStart"/>
      <w:r>
        <w:t>свързано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забраната</w:t>
      </w:r>
      <w:proofErr w:type="spellEnd"/>
      <w:r>
        <w:t xml:space="preserve"> на вноса на </w:t>
      </w:r>
      <w:proofErr w:type="spellStart"/>
      <w:r>
        <w:t>плодове</w:t>
      </w:r>
      <w:proofErr w:type="spellEnd"/>
      <w:r>
        <w:t xml:space="preserve"> в </w:t>
      </w:r>
      <w:proofErr w:type="spellStart"/>
      <w:r>
        <w:t>Русия</w:t>
      </w:r>
      <w:proofErr w:type="spellEnd"/>
      <w:r>
        <w:t xml:space="preserve"> от </w:t>
      </w:r>
      <w:proofErr w:type="spellStart"/>
      <w:r>
        <w:t>тази</w:t>
      </w:r>
      <w:proofErr w:type="spellEnd"/>
      <w:r>
        <w:t xml:space="preserve"> страна, </w:t>
      </w:r>
      <w:proofErr w:type="spellStart"/>
      <w:r>
        <w:t>което</w:t>
      </w:r>
      <w:proofErr w:type="spellEnd"/>
      <w:r>
        <w:t xml:space="preserve"> е довело до </w:t>
      </w:r>
      <w:proofErr w:type="spellStart"/>
      <w:r>
        <w:t>увеличаване</w:t>
      </w:r>
      <w:proofErr w:type="spellEnd"/>
      <w:r>
        <w:t xml:space="preserve"> на </w:t>
      </w:r>
      <w:proofErr w:type="spellStart"/>
      <w:r>
        <w:t>предлагането</w:t>
      </w:r>
      <w:proofErr w:type="spellEnd"/>
      <w:r>
        <w:t xml:space="preserve"> на </w:t>
      </w:r>
      <w:proofErr w:type="spellStart"/>
      <w:r>
        <w:t>преработени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. В сравнение с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2014 г. </w:t>
      </w:r>
      <w:proofErr w:type="spellStart"/>
      <w:r>
        <w:t>вносът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от </w:t>
      </w:r>
      <w:proofErr w:type="spellStart"/>
      <w:r>
        <w:t>Полша</w:t>
      </w:r>
      <w:proofErr w:type="spellEnd"/>
      <w:r>
        <w:t xml:space="preserve"> се е увеличил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януари</w:t>
      </w:r>
      <w:proofErr w:type="spellEnd"/>
      <w:r>
        <w:t xml:space="preserve">-март 2015 с 2.8 </w:t>
      </w:r>
      <w:proofErr w:type="spellStart"/>
      <w:r>
        <w:t>пъти</w:t>
      </w:r>
      <w:proofErr w:type="spellEnd"/>
      <w:r>
        <w:t>.</w:t>
      </w:r>
    </w:p>
    <w:p w:rsidR="00976B87" w:rsidRDefault="00976B87" w:rsidP="006D3135">
      <w:pPr>
        <w:jc w:val="both"/>
      </w:pPr>
      <w:r>
        <w:t xml:space="preserve">За </w:t>
      </w:r>
      <w:proofErr w:type="spellStart"/>
      <w:r>
        <w:t>разлика</w:t>
      </w:r>
      <w:proofErr w:type="spellEnd"/>
      <w:r>
        <w:t xml:space="preserve"> от вноса, </w:t>
      </w:r>
      <w:proofErr w:type="spellStart"/>
      <w:r>
        <w:t>износът</w:t>
      </w:r>
      <w:proofErr w:type="spellEnd"/>
      <w:r>
        <w:t xml:space="preserve">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от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г. се е увеличил с 3,7% и е </w:t>
      </w:r>
      <w:proofErr w:type="spellStart"/>
      <w:r>
        <w:t>достигнал</w:t>
      </w:r>
      <w:proofErr w:type="spellEnd"/>
      <w:r>
        <w:t xml:space="preserve"> 65.2 </w:t>
      </w:r>
      <w:proofErr w:type="spellStart"/>
      <w:r>
        <w:t>хиляди</w:t>
      </w:r>
      <w:proofErr w:type="spellEnd"/>
      <w:r>
        <w:t xml:space="preserve"> тона.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тримесечие</w:t>
      </w:r>
      <w:proofErr w:type="spellEnd"/>
      <w:r>
        <w:t xml:space="preserve"> на 2015 г. </w:t>
      </w:r>
      <w:proofErr w:type="spellStart"/>
      <w:r>
        <w:t>износът</w:t>
      </w:r>
      <w:proofErr w:type="spellEnd"/>
      <w:r>
        <w:t xml:space="preserve"> е </w:t>
      </w:r>
      <w:proofErr w:type="spellStart"/>
      <w:r>
        <w:t>нараснал</w:t>
      </w:r>
      <w:proofErr w:type="spellEnd"/>
      <w:r>
        <w:t xml:space="preserve"> с 36.7% в сравнение с </w:t>
      </w:r>
      <w:proofErr w:type="spellStart"/>
      <w:r>
        <w:t>първите</w:t>
      </w:r>
      <w:proofErr w:type="spellEnd"/>
      <w:r>
        <w:t xml:space="preserve"> три </w:t>
      </w:r>
      <w:proofErr w:type="spellStart"/>
      <w:r>
        <w:t>месеца</w:t>
      </w:r>
      <w:proofErr w:type="spellEnd"/>
      <w:r>
        <w:t xml:space="preserve"> на </w:t>
      </w:r>
      <w:proofErr w:type="spellStart"/>
      <w:r>
        <w:t>предходната</w:t>
      </w:r>
      <w:proofErr w:type="spellEnd"/>
      <w:r>
        <w:t xml:space="preserve"> година и </w:t>
      </w:r>
      <w:proofErr w:type="spellStart"/>
      <w:r>
        <w:t>възлиза</w:t>
      </w:r>
      <w:proofErr w:type="spellEnd"/>
      <w:r>
        <w:t xml:space="preserve"> на 11.5 </w:t>
      </w:r>
      <w:proofErr w:type="spellStart"/>
      <w:r>
        <w:t>хиляди</w:t>
      </w:r>
      <w:proofErr w:type="spellEnd"/>
      <w:r>
        <w:t xml:space="preserve"> тона.</w:t>
      </w:r>
    </w:p>
    <w:p w:rsidR="00976B87" w:rsidRDefault="00976B87" w:rsidP="006D3135">
      <w:pPr>
        <w:jc w:val="both"/>
      </w:pPr>
      <w:proofErr w:type="spellStart"/>
      <w:r>
        <w:t>Основните</w:t>
      </w:r>
      <w:proofErr w:type="spellEnd"/>
      <w:r>
        <w:t xml:space="preserve"> </w:t>
      </w:r>
      <w:proofErr w:type="spellStart"/>
      <w:r>
        <w:t>пазари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от </w:t>
      </w:r>
      <w:proofErr w:type="spellStart"/>
      <w:r>
        <w:t>Митническия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Дяловете</w:t>
      </w:r>
      <w:proofErr w:type="spellEnd"/>
      <w:r>
        <w:t xml:space="preserve"> на </w:t>
      </w:r>
      <w:proofErr w:type="spellStart"/>
      <w:proofErr w:type="gramStart"/>
      <w:r>
        <w:t>Беларус</w:t>
      </w:r>
      <w:proofErr w:type="spellEnd"/>
      <w:r>
        <w:t xml:space="preserve"> и</w:t>
      </w:r>
      <w:proofErr w:type="gramEnd"/>
      <w:r>
        <w:t xml:space="preserve"> Казахстан в </w:t>
      </w:r>
      <w:proofErr w:type="spellStart"/>
      <w:r>
        <w:t>структурата</w:t>
      </w:r>
      <w:proofErr w:type="spellEnd"/>
      <w:r>
        <w:t xml:space="preserve"> на износа от </w:t>
      </w:r>
      <w:proofErr w:type="spellStart"/>
      <w:r>
        <w:t>Русия</w:t>
      </w:r>
      <w:proofErr w:type="spellEnd"/>
      <w:r>
        <w:t xml:space="preserve">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2014 г. </w:t>
      </w:r>
      <w:proofErr w:type="spellStart"/>
      <w:r>
        <w:t>са</w:t>
      </w:r>
      <w:proofErr w:type="spellEnd"/>
      <w:r>
        <w:t xml:space="preserve"> били </w:t>
      </w:r>
      <w:proofErr w:type="spellStart"/>
      <w:r>
        <w:t>съответно</w:t>
      </w:r>
      <w:proofErr w:type="spellEnd"/>
      <w:r>
        <w:t xml:space="preserve"> 45.1 и 31.9%.</w:t>
      </w:r>
    </w:p>
    <w:p w:rsidR="00976B87" w:rsidRDefault="00976B87" w:rsidP="006D3135">
      <w:pPr>
        <w:jc w:val="both"/>
      </w:pPr>
      <w:r>
        <w:t xml:space="preserve">В </w:t>
      </w:r>
      <w:proofErr w:type="spellStart"/>
      <w:r>
        <w:t>средносрочен</w:t>
      </w:r>
      <w:proofErr w:type="spellEnd"/>
      <w:r>
        <w:t xml:space="preserve"> план при </w:t>
      </w:r>
      <w:proofErr w:type="spellStart"/>
      <w:r>
        <w:t>стабилизиране</w:t>
      </w:r>
      <w:proofErr w:type="spellEnd"/>
      <w:r>
        <w:t xml:space="preserve"> на </w:t>
      </w:r>
      <w:proofErr w:type="spellStart"/>
      <w:r>
        <w:t>икономическата</w:t>
      </w:r>
      <w:proofErr w:type="spellEnd"/>
      <w:r>
        <w:t xml:space="preserve"> ситуация в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да се </w:t>
      </w:r>
      <w:proofErr w:type="spellStart"/>
      <w:r>
        <w:t>очаква</w:t>
      </w:r>
      <w:proofErr w:type="spellEnd"/>
      <w:r>
        <w:t xml:space="preserve">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нарастване</w:t>
      </w:r>
      <w:proofErr w:type="spellEnd"/>
      <w:r>
        <w:t xml:space="preserve"> на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на производство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 с 3-5% </w:t>
      </w:r>
      <w:proofErr w:type="spellStart"/>
      <w:r>
        <w:t>годишно</w:t>
      </w:r>
      <w:proofErr w:type="spellEnd"/>
      <w:r>
        <w:t xml:space="preserve">. Подобна динамика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обусловена</w:t>
      </w:r>
      <w:proofErr w:type="spellEnd"/>
      <w:r>
        <w:t xml:space="preserve"> от </w:t>
      </w:r>
      <w:proofErr w:type="spellStart"/>
      <w:r>
        <w:t>увеличението</w:t>
      </w:r>
      <w:proofErr w:type="spellEnd"/>
      <w:r>
        <w:t xml:space="preserve"> на </w:t>
      </w:r>
      <w:proofErr w:type="spellStart"/>
      <w:r>
        <w:t>вътрешното</w:t>
      </w:r>
      <w:proofErr w:type="spellEnd"/>
      <w:r>
        <w:t xml:space="preserve"> потребление на </w:t>
      </w:r>
      <w:proofErr w:type="spellStart"/>
      <w:r>
        <w:t>сокове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естествения</w:t>
      </w:r>
      <w:proofErr w:type="spellEnd"/>
      <w:r>
        <w:t xml:space="preserve"> </w:t>
      </w:r>
      <w:proofErr w:type="spellStart"/>
      <w:r>
        <w:t>прираст</w:t>
      </w:r>
      <w:proofErr w:type="spellEnd"/>
      <w:r>
        <w:t xml:space="preserve"> на </w:t>
      </w:r>
      <w:proofErr w:type="spellStart"/>
      <w:r>
        <w:t>населението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 и </w:t>
      </w:r>
      <w:proofErr w:type="spellStart"/>
      <w:r>
        <w:t>ръста</w:t>
      </w:r>
      <w:proofErr w:type="spellEnd"/>
      <w:r>
        <w:t xml:space="preserve"> на  </w:t>
      </w:r>
      <w:proofErr w:type="spellStart"/>
      <w:r>
        <w:t>населението</w:t>
      </w:r>
      <w:proofErr w:type="spellEnd"/>
      <w:r>
        <w:t xml:space="preserve"> на </w:t>
      </w:r>
      <w:proofErr w:type="spellStart"/>
      <w:r>
        <w:t>Русия</w:t>
      </w:r>
      <w:proofErr w:type="spellEnd"/>
      <w:r>
        <w:t xml:space="preserve"> след </w:t>
      </w:r>
      <w:proofErr w:type="spellStart"/>
      <w:r>
        <w:t>присъединяването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Крим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да се </w:t>
      </w:r>
      <w:proofErr w:type="spellStart"/>
      <w:r>
        <w:t>очаква</w:t>
      </w:r>
      <w:proofErr w:type="spellEnd"/>
      <w:r>
        <w:t xml:space="preserve"> увеличение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износа</w:t>
      </w:r>
      <w:proofErr w:type="gramEnd"/>
      <w:r>
        <w:t xml:space="preserve"> на </w:t>
      </w:r>
      <w:proofErr w:type="spellStart"/>
      <w:r>
        <w:t>плодови</w:t>
      </w:r>
      <w:proofErr w:type="spellEnd"/>
      <w:r>
        <w:t xml:space="preserve"> и </w:t>
      </w:r>
      <w:proofErr w:type="spellStart"/>
      <w:r>
        <w:t>зеленчукови</w:t>
      </w:r>
      <w:proofErr w:type="spellEnd"/>
      <w:r>
        <w:t xml:space="preserve"> </w:t>
      </w:r>
      <w:proofErr w:type="spellStart"/>
      <w:r>
        <w:t>сокове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обезценяването</w:t>
      </w:r>
      <w:proofErr w:type="spellEnd"/>
      <w:r>
        <w:t xml:space="preserve"> на </w:t>
      </w:r>
      <w:proofErr w:type="spellStart"/>
      <w:r>
        <w:t>руската</w:t>
      </w:r>
      <w:proofErr w:type="spellEnd"/>
      <w:r>
        <w:t xml:space="preserve"> </w:t>
      </w:r>
      <w:proofErr w:type="spellStart"/>
      <w:r>
        <w:t>рубла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продуктите</w:t>
      </w:r>
      <w:proofErr w:type="spellEnd"/>
      <w:r>
        <w:t xml:space="preserve"> от </w:t>
      </w:r>
      <w:proofErr w:type="spellStart"/>
      <w:r>
        <w:t>местни</w:t>
      </w:r>
      <w:proofErr w:type="spellEnd"/>
      <w:r>
        <w:t xml:space="preserve"> производители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по-конкурентоспособни</w:t>
      </w:r>
      <w:proofErr w:type="spellEnd"/>
      <w:r>
        <w:t xml:space="preserve"> на </w:t>
      </w:r>
      <w:proofErr w:type="spellStart"/>
      <w:r>
        <w:t>чуждестранните</w:t>
      </w:r>
      <w:proofErr w:type="spellEnd"/>
      <w:r>
        <w:t xml:space="preserve"> </w:t>
      </w:r>
      <w:proofErr w:type="spellStart"/>
      <w:r>
        <w:t>пазари</w:t>
      </w:r>
      <w:proofErr w:type="spellEnd"/>
      <w:r>
        <w:t xml:space="preserve">.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сдържащ</w:t>
      </w:r>
      <w:proofErr w:type="spellEnd"/>
      <w:r>
        <w:t xml:space="preserve"> фактор за </w:t>
      </w:r>
      <w:proofErr w:type="spellStart"/>
      <w:r>
        <w:t>руския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 на </w:t>
      </w:r>
      <w:proofErr w:type="spellStart"/>
      <w:r>
        <w:t>сокове</w:t>
      </w:r>
      <w:proofErr w:type="spellEnd"/>
      <w:r>
        <w:t xml:space="preserve"> се </w:t>
      </w:r>
      <w:proofErr w:type="spellStart"/>
      <w:r>
        <w:t>явява</w:t>
      </w:r>
      <w:proofErr w:type="spellEnd"/>
      <w:r>
        <w:t xml:space="preserve"> </w:t>
      </w:r>
      <w:proofErr w:type="spellStart"/>
      <w:r>
        <w:t>намаляването</w:t>
      </w:r>
      <w:proofErr w:type="spellEnd"/>
      <w:r>
        <w:t xml:space="preserve"> на </w:t>
      </w:r>
      <w:proofErr w:type="spellStart"/>
      <w:r>
        <w:t>покупателната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фактор вероятно </w:t>
      </w:r>
      <w:proofErr w:type="spellStart"/>
      <w:r>
        <w:t>ще</w:t>
      </w:r>
      <w:proofErr w:type="spellEnd"/>
      <w:r>
        <w:t xml:space="preserve"> послужи </w:t>
      </w:r>
      <w:proofErr w:type="spellStart"/>
      <w:r>
        <w:t>като</w:t>
      </w:r>
      <w:proofErr w:type="spellEnd"/>
      <w:r>
        <w:t xml:space="preserve"> катализатор за </w:t>
      </w:r>
      <w:proofErr w:type="spellStart"/>
      <w:r>
        <w:t>увеличаване</w:t>
      </w:r>
      <w:proofErr w:type="spellEnd"/>
      <w:r>
        <w:t xml:space="preserve"> на </w:t>
      </w:r>
      <w:proofErr w:type="spellStart"/>
      <w:r>
        <w:t>продажбите</w:t>
      </w:r>
      <w:proofErr w:type="spellEnd"/>
      <w:r>
        <w:t xml:space="preserve"> на </w:t>
      </w:r>
      <w:proofErr w:type="spellStart"/>
      <w:r>
        <w:t>евтини</w:t>
      </w:r>
      <w:proofErr w:type="spellEnd"/>
      <w:r>
        <w:t xml:space="preserve"> марки и </w:t>
      </w:r>
      <w:proofErr w:type="spellStart"/>
      <w:r>
        <w:t>намаляване</w:t>
      </w:r>
      <w:proofErr w:type="spellEnd"/>
      <w:r>
        <w:t xml:space="preserve"> на дела на </w:t>
      </w:r>
      <w:proofErr w:type="spellStart"/>
      <w:r>
        <w:t>по-скъпи</w:t>
      </w:r>
      <w:proofErr w:type="spellEnd"/>
      <w:r>
        <w:t xml:space="preserve"> марки.</w:t>
      </w:r>
    </w:p>
    <w:p w:rsidR="00976B87" w:rsidRDefault="00976B87" w:rsidP="006D3135">
      <w:pPr>
        <w:jc w:val="both"/>
        <w:rPr>
          <w:lang w:val="bg-BG"/>
        </w:rPr>
      </w:pPr>
      <w:r>
        <w:t xml:space="preserve">*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под внимание </w:t>
      </w:r>
      <w:proofErr w:type="spellStart"/>
      <w:r>
        <w:t>доставките</w:t>
      </w:r>
      <w:proofErr w:type="spellEnd"/>
      <w:r>
        <w:t xml:space="preserve"> в </w:t>
      </w:r>
      <w:proofErr w:type="spellStart"/>
      <w:r>
        <w:t>страните</w:t>
      </w:r>
      <w:proofErr w:type="spellEnd"/>
      <w:r>
        <w:t xml:space="preserve"> от </w:t>
      </w:r>
      <w:proofErr w:type="spellStart"/>
      <w:r>
        <w:t>Митническия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>.</w:t>
      </w:r>
    </w:p>
    <w:p w:rsidR="00976B87" w:rsidRDefault="00976B87" w:rsidP="006D3135">
      <w:pPr>
        <w:jc w:val="both"/>
      </w:pPr>
      <w:r>
        <w:t xml:space="preserve">**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, </w:t>
      </w:r>
      <w:proofErr w:type="gramStart"/>
      <w:r>
        <w:t>без</w:t>
      </w:r>
      <w:proofErr w:type="gramEnd"/>
      <w:r>
        <w:t xml:space="preserve"> да се </w:t>
      </w:r>
      <w:proofErr w:type="spellStart"/>
      <w:r>
        <w:t>вземат</w:t>
      </w:r>
      <w:proofErr w:type="spellEnd"/>
      <w:r>
        <w:t xml:space="preserve"> под внимание </w:t>
      </w:r>
      <w:proofErr w:type="spellStart"/>
      <w:r>
        <w:t>доставките</w:t>
      </w:r>
      <w:proofErr w:type="spellEnd"/>
      <w:r>
        <w:t xml:space="preserve"> за </w:t>
      </w:r>
      <w:proofErr w:type="spellStart"/>
      <w:r>
        <w:t>страните</w:t>
      </w:r>
      <w:proofErr w:type="spellEnd"/>
      <w:r>
        <w:t xml:space="preserve"> от </w:t>
      </w:r>
      <w:proofErr w:type="spellStart"/>
      <w:r>
        <w:t>Митническия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>.</w:t>
      </w:r>
    </w:p>
    <w:p w:rsidR="00976B87" w:rsidRDefault="00976B87" w:rsidP="006D3135">
      <w:pPr>
        <w:jc w:val="both"/>
        <w:rPr>
          <w:lang w:val="en-US"/>
        </w:rPr>
      </w:pPr>
      <w:r>
        <w:t xml:space="preserve">*** </w:t>
      </w:r>
      <w:proofErr w:type="spellStart"/>
      <w:r>
        <w:t>Обемът</w:t>
      </w:r>
      <w:proofErr w:type="spellEnd"/>
      <w:r>
        <w:t xml:space="preserve"> на </w:t>
      </w:r>
      <w:proofErr w:type="spellStart"/>
      <w:r>
        <w:t>производството</w:t>
      </w:r>
      <w:proofErr w:type="spellEnd"/>
      <w:r>
        <w:t xml:space="preserve"> е </w:t>
      </w:r>
      <w:proofErr w:type="spellStart"/>
      <w:r>
        <w:t>преизчислен</w:t>
      </w:r>
      <w:proofErr w:type="spellEnd"/>
      <w:r>
        <w:t xml:space="preserve"> от </w:t>
      </w:r>
      <w:proofErr w:type="spellStart"/>
      <w:r>
        <w:t>условни</w:t>
      </w:r>
      <w:proofErr w:type="spellEnd"/>
      <w:r>
        <w:t xml:space="preserve"> </w:t>
      </w:r>
      <w:proofErr w:type="spellStart"/>
      <w:r>
        <w:t>кутии</w:t>
      </w:r>
      <w:proofErr w:type="spellEnd"/>
      <w:r>
        <w:t xml:space="preserve"> за тон </w:t>
      </w:r>
      <w:proofErr w:type="gramStart"/>
      <w:r>
        <w:t>по</w:t>
      </w:r>
      <w:proofErr w:type="gramEnd"/>
      <w:r>
        <w:t xml:space="preserve"> методика на Росстат.</w:t>
      </w:r>
    </w:p>
    <w:bookmarkEnd w:id="0"/>
    <w:p w:rsidR="00976B87" w:rsidRDefault="00976B87" w:rsidP="00976B87">
      <w:pPr>
        <w:pStyle w:val="a4"/>
        <w:spacing w:line="276" w:lineRule="auto"/>
        <w:ind w:firstLine="708"/>
        <w:jc w:val="right"/>
        <w:rPr>
          <w:lang w:val="bg-BG"/>
        </w:rPr>
      </w:pPr>
    </w:p>
    <w:p w:rsidR="00976B87" w:rsidRDefault="006D3135" w:rsidP="00976B87">
      <w:pPr>
        <w:pStyle w:val="a4"/>
        <w:spacing w:line="276" w:lineRule="auto"/>
        <w:ind w:firstLine="708"/>
        <w:jc w:val="right"/>
        <w:rPr>
          <w:rStyle w:val="a6"/>
          <w:rFonts w:ascii="Verdana" w:hAnsi="Verdana"/>
          <w:sz w:val="20"/>
          <w:szCs w:val="20"/>
          <w:lang w:val="bg-BG"/>
        </w:rPr>
      </w:pPr>
      <w:hyperlink r:id="rId10" w:history="1">
        <w:r w:rsidR="00976B87" w:rsidRPr="00601D28">
          <w:rPr>
            <w:rStyle w:val="a6"/>
            <w:rFonts w:ascii="Verdana" w:hAnsi="Verdana"/>
            <w:sz w:val="20"/>
            <w:szCs w:val="20"/>
            <w:lang w:val="bg-BG"/>
          </w:rPr>
          <w:t>http://www.foodmarket.spb.ru/</w:t>
        </w:r>
      </w:hyperlink>
    </w:p>
    <w:p w:rsidR="00976B87" w:rsidRPr="00976B87" w:rsidRDefault="00976B87" w:rsidP="00976B87">
      <w:pPr>
        <w:rPr>
          <w:lang w:val="en-US"/>
        </w:rPr>
      </w:pPr>
    </w:p>
    <w:sectPr w:rsidR="00976B87" w:rsidRPr="0097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1"/>
    <w:rsid w:val="002F3881"/>
    <w:rsid w:val="006D3135"/>
    <w:rsid w:val="00976B87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87"/>
    <w:pPr>
      <w:ind w:left="720"/>
      <w:contextualSpacing/>
    </w:pPr>
  </w:style>
  <w:style w:type="paragraph" w:styleId="a4">
    <w:name w:val="No Spacing"/>
    <w:link w:val="a5"/>
    <w:uiPriority w:val="1"/>
    <w:qFormat/>
    <w:rsid w:val="00976B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6B87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76B87"/>
  </w:style>
  <w:style w:type="character" w:customStyle="1" w:styleId="hps">
    <w:name w:val="hps"/>
    <w:basedOn w:val="a0"/>
    <w:rsid w:val="00976B87"/>
  </w:style>
  <w:style w:type="paragraph" w:styleId="a7">
    <w:name w:val="Balloon Text"/>
    <w:basedOn w:val="a"/>
    <w:link w:val="a8"/>
    <w:uiPriority w:val="99"/>
    <w:semiHidden/>
    <w:unhideWhenUsed/>
    <w:rsid w:val="009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87"/>
    <w:pPr>
      <w:ind w:left="720"/>
      <w:contextualSpacing/>
    </w:pPr>
  </w:style>
  <w:style w:type="paragraph" w:styleId="a4">
    <w:name w:val="No Spacing"/>
    <w:link w:val="a5"/>
    <w:uiPriority w:val="1"/>
    <w:qFormat/>
    <w:rsid w:val="00976B8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6B87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76B87"/>
  </w:style>
  <w:style w:type="character" w:customStyle="1" w:styleId="hps">
    <w:name w:val="hps"/>
    <w:basedOn w:val="a0"/>
    <w:rsid w:val="00976B87"/>
  </w:style>
  <w:style w:type="paragraph" w:styleId="a7">
    <w:name w:val="Balloon Text"/>
    <w:basedOn w:val="a"/>
    <w:link w:val="a8"/>
    <w:uiPriority w:val="99"/>
    <w:semiHidden/>
    <w:unhideWhenUsed/>
    <w:rsid w:val="009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bg/url?sa=i&amp;rct=j&amp;q=&amp;esrc=s&amp;source=images&amp;cd=&amp;cad=rja&amp;uact=8&amp;ved=0CAcQjRxqFQoTCJmN08Sy8cgCFWnwcgod1F8C1Q&amp;url=http://www.miss-wellness.ru/pravilnoe-pitanie/ovoshhnye-i-fruktovye-soki-polza-dlya-organizma.html&amp;psig=AFQjCNEqFdh7iWJ7ympu4rx041fK49bs6A&amp;ust=1446541835716417" TargetMode="External"/><Relationship Id="rId10" Type="http://schemas.openxmlformats.org/officeDocument/2006/relationships/hyperlink" Target="http://www.foodmarket.spb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775838743272054E-2"/>
          <c:y val="3.2809245618491238E-2"/>
          <c:w val="0.9232241612567279"/>
          <c:h val="0.5659596604478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6">
                  <c:v>1 тримесечие на 2014г.</c:v>
                </c:pt>
                <c:pt idx="7">
                  <c:v>1 тримесечие на 2015г.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3081</c:v>
                </c:pt>
                <c:pt idx="1">
                  <c:v>2317</c:v>
                </c:pt>
                <c:pt idx="2">
                  <c:v>2530</c:v>
                </c:pt>
                <c:pt idx="3">
                  <c:v>2594</c:v>
                </c:pt>
                <c:pt idx="4">
                  <c:v>2604</c:v>
                </c:pt>
                <c:pt idx="6">
                  <c:v>626</c:v>
                </c:pt>
                <c:pt idx="7">
                  <c:v>513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6">
                  <c:v>1 тримесечие на 2014г.</c:v>
                </c:pt>
                <c:pt idx="7">
                  <c:v>1 тримесечие на 2015г.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6">
                  <c:v>1 тримесечие на 2014г.</c:v>
                </c:pt>
                <c:pt idx="7">
                  <c:v>1 тримесечие на 2015г.</c:v>
                </c:pt>
              </c:strCache>
            </c:strRef>
          </c:cat>
          <c:val>
            <c:numRef>
              <c:f>Лист1!$D$2:$D$9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856768"/>
        <c:axId val="103862656"/>
        <c:axId val="0"/>
      </c:bar3DChart>
      <c:catAx>
        <c:axId val="1038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862656"/>
        <c:crosses val="autoZero"/>
        <c:auto val="1"/>
        <c:lblAlgn val="ctr"/>
        <c:lblOffset val="100"/>
        <c:noMultiLvlLbl val="0"/>
      </c:catAx>
      <c:valAx>
        <c:axId val="10386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856768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01256569256787E-2"/>
          <c:y val="0.24075417687592676"/>
          <c:w val="0.38785350948235547"/>
          <c:h val="0.57833210626801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ябълков</c:v>
                </c:pt>
                <c:pt idx="1">
                  <c:v>доматен</c:v>
                </c:pt>
                <c:pt idx="2">
                  <c:v>тропически и субтропически плодове</c:v>
                </c:pt>
                <c:pt idx="3">
                  <c:v>портокалов</c:v>
                </c:pt>
                <c:pt idx="4">
                  <c:v>грейпфрутов</c:v>
                </c:pt>
                <c:pt idx="5">
                  <c:v>вишнев/черешов</c:v>
                </c:pt>
                <c:pt idx="6">
                  <c:v>гроздов</c:v>
                </c:pt>
                <c:pt idx="7">
                  <c:v>крушев</c:v>
                </c:pt>
                <c:pt idx="8">
                  <c:v>други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38.1</c:v>
                </c:pt>
                <c:pt idx="1">
                  <c:v>13.9</c:v>
                </c:pt>
                <c:pt idx="2">
                  <c:v>11.4</c:v>
                </c:pt>
                <c:pt idx="3">
                  <c:v>8.3000000000000007</c:v>
                </c:pt>
                <c:pt idx="4">
                  <c:v>1</c:v>
                </c:pt>
                <c:pt idx="5">
                  <c:v>0.7</c:v>
                </c:pt>
                <c:pt idx="6">
                  <c:v>0.4</c:v>
                </c:pt>
                <c:pt idx="7">
                  <c:v>0.1</c:v>
                </c:pt>
                <c:pt idx="8">
                  <c:v>26.1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800" spc="-1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7695446825831261"/>
          <c:y val="0.19721749231713415"/>
          <c:w val="0.38841079594122396"/>
          <c:h val="0.59478039187699727"/>
        </c:manualLayout>
      </c:layout>
      <c:overlay val="0"/>
      <c:txPr>
        <a:bodyPr/>
        <a:lstStyle/>
        <a:p>
          <a:pPr>
            <a:defRPr sz="800" spc="-10" baseline="0">
              <a:latin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512965134677314E-2"/>
          <c:y val="0.12996017946269303"/>
          <c:w val="0.45658029448446602"/>
          <c:h val="0.55042036793455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ябълков</c:v>
                </c:pt>
                <c:pt idx="1">
                  <c:v>портокалов</c:v>
                </c:pt>
                <c:pt idx="2">
                  <c:v>смеси</c:v>
                </c:pt>
                <c:pt idx="3">
                  <c:v>гроздов</c:v>
                </c:pt>
                <c:pt idx="4">
                  <c:v>ананасов</c:v>
                </c:pt>
                <c:pt idx="5">
                  <c:v>доматен</c:v>
                </c:pt>
                <c:pt idx="6">
                  <c:v>грейпфрутов</c:v>
                </c:pt>
                <c:pt idx="7">
                  <c:v>други цитросови</c:v>
                </c:pt>
                <c:pt idx="8">
                  <c:v>червени боровинки</c:v>
                </c:pt>
                <c:pt idx="9">
                  <c:v>други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0.45600000000000002</c:v>
                </c:pt>
                <c:pt idx="1">
                  <c:v>0.20399999999999999</c:v>
                </c:pt>
                <c:pt idx="2">
                  <c:v>9.9000000000000005E-2</c:v>
                </c:pt>
                <c:pt idx="3">
                  <c:v>6.3E-2</c:v>
                </c:pt>
                <c:pt idx="4">
                  <c:v>4.3999999999999997E-2</c:v>
                </c:pt>
                <c:pt idx="5">
                  <c:v>2.5000000000000001E-2</c:v>
                </c:pt>
                <c:pt idx="6">
                  <c:v>2.1000000000000001E-2</c:v>
                </c:pt>
                <c:pt idx="7">
                  <c:v>1.2E-2</c:v>
                </c:pt>
                <c:pt idx="8">
                  <c:v>2E-3</c:v>
                </c:pt>
                <c:pt idx="9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616518679845863"/>
          <c:y val="0.16285122254455034"/>
          <c:w val="0.26881014873140857"/>
          <c:h val="0.493275840519935"/>
        </c:manualLayout>
      </c:layout>
      <c:overlay val="0"/>
      <c:txPr>
        <a:bodyPr/>
        <a:lstStyle/>
        <a:p>
          <a:pPr>
            <a:defRPr sz="900" spc="50" baseline="0">
              <a:latin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2015-11-06T14:21:00Z</dcterms:created>
  <dcterms:modified xsi:type="dcterms:W3CDTF">2015-11-06T14:36:00Z</dcterms:modified>
</cp:coreProperties>
</file>