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6E" w:rsidRDefault="00F17F6E" w:rsidP="00F17F6E">
      <w:pPr>
        <w:spacing w:after="0"/>
        <w:jc w:val="center"/>
        <w:rPr>
          <w:rFonts w:ascii="Verdana" w:eastAsia="Times New Roman" w:hAnsi="Verdana" w:cs="Times New Roman"/>
          <w:b/>
          <w:sz w:val="20"/>
          <w:szCs w:val="20"/>
          <w:lang w:val="bg-BG" w:eastAsia="ru-RU"/>
        </w:rPr>
      </w:pPr>
      <w:r>
        <w:rPr>
          <w:noProof/>
          <w:lang w:eastAsia="ru-RU"/>
        </w:rPr>
        <w:drawing>
          <wp:anchor distT="0" distB="0" distL="114300" distR="114300" simplePos="0" relativeHeight="251659264" behindDoc="0" locked="0" layoutInCell="1" allowOverlap="1" wp14:anchorId="4B694D66" wp14:editId="21CB208B">
            <wp:simplePos x="0" y="0"/>
            <wp:positionH relativeFrom="column">
              <wp:posOffset>-635</wp:posOffset>
            </wp:positionH>
            <wp:positionV relativeFrom="paragraph">
              <wp:posOffset>-3175</wp:posOffset>
            </wp:positionV>
            <wp:extent cx="2203450" cy="1676400"/>
            <wp:effectExtent l="0" t="0" r="6350" b="0"/>
            <wp:wrapSquare wrapText="bothSides"/>
            <wp:docPr id="10" name="Рисунок 10" descr="http://22.img.avito.st/1280x960/112543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img.avito.st/1280x960/112543732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9240"/>
                    <a:stretch/>
                  </pic:blipFill>
                  <pic:spPr bwMode="auto">
                    <a:xfrm>
                      <a:off x="0" y="0"/>
                      <a:ext cx="220345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7714">
        <w:rPr>
          <w:rFonts w:ascii="Verdana" w:eastAsia="Times New Roman" w:hAnsi="Verdana" w:cs="Times New Roman"/>
          <w:b/>
          <w:sz w:val="20"/>
          <w:szCs w:val="20"/>
          <w:lang w:val="bg-BG" w:eastAsia="ru-RU"/>
        </w:rPr>
        <w:t>ПАЗАРА НА ЕКСПРЕСНИ КУРИЕРСКИ УСЛУГИ В РУСКАТА ФЕДЕРАЦИЯ</w:t>
      </w:r>
    </w:p>
    <w:p w:rsidR="00F17F6E" w:rsidRDefault="00F17F6E" w:rsidP="00F17F6E">
      <w:pPr>
        <w:spacing w:after="0"/>
        <w:jc w:val="center"/>
        <w:rPr>
          <w:rFonts w:ascii="Verdana" w:eastAsia="Times New Roman" w:hAnsi="Verdana" w:cs="Times New Roman"/>
          <w:b/>
          <w:sz w:val="20"/>
          <w:szCs w:val="20"/>
          <w:lang w:val="bg-BG" w:eastAsia="ru-RU"/>
        </w:rPr>
      </w:pPr>
    </w:p>
    <w:p w:rsidR="00F17F6E"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Руският пазар за експресни куриерски услуги през последните четири години показва стабилен ръст, като през 2014 г. обемът му достига до 52 милиарда рубли. Пазара за куриерски услуги все повече става зависим от електронната търговия, и според експерти от индустрията, онлайн търговия</w:t>
      </w:r>
      <w:r>
        <w:rPr>
          <w:rFonts w:ascii="Verdana" w:eastAsia="Times New Roman" w:hAnsi="Verdana" w:cs="Times New Roman"/>
          <w:sz w:val="20"/>
          <w:szCs w:val="20"/>
          <w:lang w:val="bg-BG" w:eastAsia="ru-RU"/>
        </w:rPr>
        <w:t>та</w:t>
      </w:r>
      <w:r w:rsidRPr="00AC0E69">
        <w:rPr>
          <w:rFonts w:ascii="Verdana" w:eastAsia="Times New Roman" w:hAnsi="Verdana" w:cs="Times New Roman"/>
          <w:sz w:val="20"/>
          <w:szCs w:val="20"/>
          <w:lang w:val="bg-BG" w:eastAsia="ru-RU"/>
        </w:rPr>
        <w:t xml:space="preserve"> е най-важният двигател на пазара на доставки в Руската федерация. Появяват се също нови </w:t>
      </w:r>
      <w:r>
        <w:rPr>
          <w:rFonts w:ascii="Verdana" w:eastAsia="Times New Roman" w:hAnsi="Verdana" w:cs="Times New Roman"/>
          <w:sz w:val="20"/>
          <w:szCs w:val="20"/>
          <w:lang w:val="bg-BG" w:eastAsia="ru-RU"/>
        </w:rPr>
        <w:t>участници</w:t>
      </w:r>
      <w:r w:rsidRPr="00AC0E69">
        <w:rPr>
          <w:rFonts w:ascii="Verdana" w:eastAsia="Times New Roman" w:hAnsi="Verdana" w:cs="Times New Roman"/>
          <w:sz w:val="20"/>
          <w:szCs w:val="20"/>
          <w:lang w:val="bg-BG" w:eastAsia="ru-RU"/>
        </w:rPr>
        <w:t xml:space="preserve"> на пазара, които са специализирани в областта на логистичния </w:t>
      </w:r>
      <w:proofErr w:type="spellStart"/>
      <w:r w:rsidRPr="00AC0E69">
        <w:rPr>
          <w:rFonts w:ascii="Verdana" w:eastAsia="Times New Roman" w:hAnsi="Verdana" w:cs="Times New Roman"/>
          <w:sz w:val="20"/>
          <w:szCs w:val="20"/>
          <w:lang w:val="bg-BG" w:eastAsia="ru-RU"/>
        </w:rPr>
        <w:t>аутсорсинг</w:t>
      </w:r>
      <w:proofErr w:type="spellEnd"/>
      <w:r w:rsidRPr="00AC0E69">
        <w:rPr>
          <w:rFonts w:ascii="Verdana" w:eastAsia="Times New Roman" w:hAnsi="Verdana" w:cs="Times New Roman"/>
          <w:sz w:val="20"/>
          <w:szCs w:val="20"/>
          <w:lang w:val="bg-BG" w:eastAsia="ru-RU"/>
        </w:rPr>
        <w:t xml:space="preserve"> за онлайн магазините. Въпреки </w:t>
      </w:r>
      <w:r>
        <w:rPr>
          <w:rFonts w:ascii="Verdana" w:eastAsia="Times New Roman" w:hAnsi="Verdana" w:cs="Times New Roman"/>
          <w:sz w:val="20"/>
          <w:szCs w:val="20"/>
          <w:lang w:val="bg-BG" w:eastAsia="ru-RU"/>
        </w:rPr>
        <w:t xml:space="preserve">намаляването на темповете </w:t>
      </w:r>
      <w:r w:rsidRPr="00AC0E69">
        <w:rPr>
          <w:rFonts w:ascii="Verdana" w:eastAsia="Times New Roman" w:hAnsi="Verdana" w:cs="Times New Roman"/>
          <w:sz w:val="20"/>
          <w:szCs w:val="20"/>
          <w:lang w:val="bg-BG" w:eastAsia="ru-RU"/>
        </w:rPr>
        <w:t>на</w:t>
      </w:r>
      <w:r>
        <w:rPr>
          <w:rFonts w:ascii="Verdana" w:eastAsia="Times New Roman" w:hAnsi="Verdana" w:cs="Times New Roman"/>
          <w:sz w:val="20"/>
          <w:szCs w:val="20"/>
          <w:lang w:val="bg-BG" w:eastAsia="ru-RU"/>
        </w:rPr>
        <w:t xml:space="preserve"> </w:t>
      </w:r>
      <w:r w:rsidRPr="00AC0E69">
        <w:rPr>
          <w:rFonts w:ascii="Verdana" w:eastAsia="Times New Roman" w:hAnsi="Verdana" w:cs="Times New Roman"/>
          <w:sz w:val="20"/>
          <w:szCs w:val="20"/>
          <w:lang w:val="bg-BG" w:eastAsia="ru-RU"/>
        </w:rPr>
        <w:t>р</w:t>
      </w:r>
      <w:r>
        <w:rPr>
          <w:rFonts w:ascii="Verdana" w:eastAsia="Times New Roman" w:hAnsi="Verdana" w:cs="Times New Roman"/>
          <w:sz w:val="20"/>
          <w:szCs w:val="20"/>
          <w:lang w:val="bg-BG" w:eastAsia="ru-RU"/>
        </w:rPr>
        <w:t>астеж</w:t>
      </w:r>
      <w:r w:rsidRPr="00AC0E69">
        <w:rPr>
          <w:rFonts w:ascii="Verdana" w:eastAsia="Times New Roman" w:hAnsi="Verdana" w:cs="Times New Roman"/>
          <w:sz w:val="20"/>
          <w:szCs w:val="20"/>
          <w:lang w:val="bg-BG" w:eastAsia="ru-RU"/>
        </w:rPr>
        <w:t>, се очаква, обемът на пазара през 2015 г. да достигне 55,6 милиарда рубли.</w:t>
      </w:r>
    </w:p>
    <w:p w:rsidR="00F17F6E"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xml:space="preserve">Пазара </w:t>
      </w:r>
      <w:r>
        <w:rPr>
          <w:rFonts w:ascii="Verdana" w:eastAsia="Times New Roman" w:hAnsi="Verdana" w:cs="Times New Roman"/>
          <w:sz w:val="20"/>
          <w:szCs w:val="20"/>
          <w:lang w:val="bg-BG" w:eastAsia="ru-RU"/>
        </w:rPr>
        <w:t>н</w:t>
      </w:r>
      <w:r w:rsidRPr="00AC0E69">
        <w:rPr>
          <w:rFonts w:ascii="Verdana" w:eastAsia="Times New Roman" w:hAnsi="Verdana" w:cs="Times New Roman"/>
          <w:sz w:val="20"/>
          <w:szCs w:val="20"/>
          <w:lang w:val="bg-BG" w:eastAsia="ru-RU"/>
        </w:rPr>
        <w:t>а експресни куриерски услуги е сегмент от транспортно-логистичните услуги.</w:t>
      </w:r>
    </w:p>
    <w:p w:rsidR="00F17F6E" w:rsidRDefault="00F17F6E" w:rsidP="00F17F6E">
      <w:pPr>
        <w:spacing w:after="0"/>
        <w:ind w:firstLine="708"/>
        <w:jc w:val="both"/>
        <w:rPr>
          <w:rFonts w:ascii="Verdana" w:eastAsia="Times New Roman" w:hAnsi="Verdana" w:cs="Times New Roman"/>
          <w:sz w:val="20"/>
          <w:szCs w:val="20"/>
          <w:lang w:val="bg-BG" w:eastAsia="ru-RU"/>
        </w:rPr>
      </w:pPr>
    </w:p>
    <w:p w:rsidR="00F17F6E" w:rsidRPr="00AC0E69"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Според приетата класификация в Европа, основните сегменти на транспортно-логистичните услуги са:</w:t>
      </w:r>
    </w:p>
    <w:p w:rsidR="00F17F6E" w:rsidRPr="00AC0E69"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товарни и спедиторски услуги;</w:t>
      </w:r>
    </w:p>
    <w:p w:rsidR="00F17F6E" w:rsidRPr="00AC0E69"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комплексни логистични услуги, включително услуги за съхранение и дистрибуция на стоките;</w:t>
      </w:r>
    </w:p>
    <w:p w:rsidR="00F17F6E" w:rsidRPr="00AC0E69"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логистика, включително услуги за оптимизиране на логистичните бизнес процеси.</w:t>
      </w:r>
    </w:p>
    <w:p w:rsidR="00F17F6E"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В Руската федерация, основният дял от пазара на транспортно-логистични услуги заемат товарните превози.</w:t>
      </w:r>
    </w:p>
    <w:p w:rsidR="00F17F6E" w:rsidRDefault="00F17F6E" w:rsidP="00F17F6E">
      <w:pPr>
        <w:spacing w:after="0"/>
        <w:rPr>
          <w:rFonts w:ascii="Verdana" w:eastAsia="Times New Roman" w:hAnsi="Verdana" w:cs="Times New Roman"/>
          <w:b/>
          <w:sz w:val="20"/>
          <w:szCs w:val="20"/>
          <w:lang w:val="bg-BG" w:eastAsia="ru-RU"/>
        </w:rPr>
      </w:pPr>
    </w:p>
    <w:p w:rsidR="00F17F6E" w:rsidRPr="00AC0E69" w:rsidRDefault="00F17F6E" w:rsidP="00F17F6E">
      <w:pPr>
        <w:spacing w:after="0"/>
        <w:jc w:val="both"/>
        <w:rPr>
          <w:rFonts w:ascii="Verdana" w:eastAsia="Times New Roman" w:hAnsi="Verdana" w:cs="Times New Roman"/>
          <w:b/>
          <w:sz w:val="20"/>
          <w:szCs w:val="20"/>
          <w:lang w:val="bg-BG" w:eastAsia="ru-RU"/>
        </w:rPr>
      </w:pPr>
      <w:r w:rsidRPr="00AC0E69">
        <w:rPr>
          <w:rFonts w:ascii="Verdana" w:eastAsia="Times New Roman" w:hAnsi="Verdana" w:cs="Times New Roman"/>
          <w:b/>
          <w:sz w:val="20"/>
          <w:szCs w:val="20"/>
          <w:lang w:val="bg-BG" w:eastAsia="ru-RU"/>
        </w:rPr>
        <w:t>Световният пазар за експресни куриерски услуги</w:t>
      </w:r>
      <w:r>
        <w:rPr>
          <w:rFonts w:ascii="Verdana" w:eastAsia="Times New Roman" w:hAnsi="Verdana" w:cs="Times New Roman"/>
          <w:b/>
          <w:sz w:val="20"/>
          <w:szCs w:val="20"/>
          <w:lang w:val="bg-BG" w:eastAsia="ru-RU"/>
        </w:rPr>
        <w:t>.</w:t>
      </w:r>
    </w:p>
    <w:p w:rsidR="00F17F6E"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xml:space="preserve">Световният пазар за експресни куриерски услуги се оценява на 216 милиарда долара. В момента делът на руския пазар на експресни куриерски услуги в парично изражение е само 0,5% от световния. Лидер на световния пазар е германската компания </w:t>
      </w:r>
      <w:proofErr w:type="spellStart"/>
      <w:r w:rsidRPr="00AC0E69">
        <w:rPr>
          <w:rFonts w:ascii="Verdana" w:eastAsia="Times New Roman" w:hAnsi="Verdana" w:cs="Times New Roman"/>
          <w:sz w:val="20"/>
          <w:szCs w:val="20"/>
          <w:lang w:val="bg-BG" w:eastAsia="ru-RU"/>
        </w:rPr>
        <w:t>Deutsche</w:t>
      </w:r>
      <w:proofErr w:type="spellEnd"/>
      <w:r w:rsidRPr="00AC0E69">
        <w:rPr>
          <w:rFonts w:ascii="Verdana" w:eastAsia="Times New Roman" w:hAnsi="Verdana" w:cs="Times New Roman"/>
          <w:sz w:val="20"/>
          <w:szCs w:val="20"/>
          <w:lang w:val="bg-BG" w:eastAsia="ru-RU"/>
        </w:rPr>
        <w:t xml:space="preserve"> </w:t>
      </w:r>
      <w:proofErr w:type="spellStart"/>
      <w:r w:rsidRPr="00AC0E69">
        <w:rPr>
          <w:rFonts w:ascii="Verdana" w:eastAsia="Times New Roman" w:hAnsi="Verdana" w:cs="Times New Roman"/>
          <w:sz w:val="20"/>
          <w:szCs w:val="20"/>
          <w:lang w:val="bg-BG" w:eastAsia="ru-RU"/>
        </w:rPr>
        <w:t>Post</w:t>
      </w:r>
      <w:proofErr w:type="spellEnd"/>
      <w:r w:rsidRPr="00AC0E69">
        <w:rPr>
          <w:rFonts w:ascii="Verdana" w:eastAsia="Times New Roman" w:hAnsi="Verdana" w:cs="Times New Roman"/>
          <w:sz w:val="20"/>
          <w:szCs w:val="20"/>
          <w:lang w:val="bg-BG" w:eastAsia="ru-RU"/>
        </w:rPr>
        <w:t xml:space="preserve"> DHL, чийто дял е 32%. През 2014 г. приходите на компанията са достигнали 69 милиарда долара. След </w:t>
      </w:r>
      <w:r>
        <w:rPr>
          <w:rFonts w:ascii="Verdana" w:eastAsia="Times New Roman" w:hAnsi="Verdana" w:cs="Times New Roman"/>
          <w:sz w:val="20"/>
          <w:szCs w:val="20"/>
          <w:lang w:val="bg-BG" w:eastAsia="ru-RU"/>
        </w:rPr>
        <w:t>нея</w:t>
      </w:r>
      <w:r w:rsidRPr="00AC0E69">
        <w:rPr>
          <w:rFonts w:ascii="Verdana" w:eastAsia="Times New Roman" w:hAnsi="Verdana" w:cs="Times New Roman"/>
          <w:sz w:val="20"/>
          <w:szCs w:val="20"/>
          <w:lang w:val="bg-BG" w:eastAsia="ru-RU"/>
        </w:rPr>
        <w:t xml:space="preserve"> са UPS и </w:t>
      </w:r>
      <w:proofErr w:type="spellStart"/>
      <w:r w:rsidRPr="00AC0E69">
        <w:rPr>
          <w:rFonts w:ascii="Verdana" w:eastAsia="Times New Roman" w:hAnsi="Verdana" w:cs="Times New Roman"/>
          <w:sz w:val="20"/>
          <w:szCs w:val="20"/>
          <w:lang w:val="bg-BG" w:eastAsia="ru-RU"/>
        </w:rPr>
        <w:t>FedEx</w:t>
      </w:r>
      <w:proofErr w:type="spellEnd"/>
      <w:r w:rsidRPr="00AC0E69">
        <w:rPr>
          <w:rFonts w:ascii="Verdana" w:eastAsia="Times New Roman" w:hAnsi="Verdana" w:cs="Times New Roman"/>
          <w:sz w:val="20"/>
          <w:szCs w:val="20"/>
          <w:lang w:val="bg-BG" w:eastAsia="ru-RU"/>
        </w:rPr>
        <w:t xml:space="preserve"> с дял съответно от 27% и 21%. Заедно лидерите заемат 80% от пазара.</w:t>
      </w:r>
    </w:p>
    <w:p w:rsidR="00F17F6E" w:rsidRDefault="00F17F6E" w:rsidP="00F17F6E">
      <w:pPr>
        <w:spacing w:after="0"/>
        <w:rPr>
          <w:rFonts w:ascii="Verdana" w:eastAsia="Times New Roman" w:hAnsi="Verdana" w:cs="Times New Roman"/>
          <w:b/>
          <w:sz w:val="20"/>
          <w:szCs w:val="20"/>
          <w:lang w:val="bg-BG" w:eastAsia="ru-RU"/>
        </w:rPr>
      </w:pPr>
    </w:p>
    <w:p w:rsidR="00F17F6E" w:rsidRPr="00AC0E69" w:rsidRDefault="00F17F6E" w:rsidP="00F17F6E">
      <w:pPr>
        <w:spacing w:after="0"/>
        <w:rPr>
          <w:rFonts w:ascii="Verdana" w:eastAsia="Times New Roman" w:hAnsi="Verdana" w:cs="Times New Roman"/>
          <w:b/>
          <w:sz w:val="20"/>
          <w:szCs w:val="20"/>
          <w:lang w:val="bg-BG" w:eastAsia="ru-RU"/>
        </w:rPr>
      </w:pPr>
      <w:r w:rsidRPr="00AC0E69">
        <w:rPr>
          <w:rFonts w:ascii="Verdana" w:eastAsia="Times New Roman" w:hAnsi="Verdana" w:cs="Times New Roman"/>
          <w:b/>
          <w:sz w:val="20"/>
          <w:szCs w:val="20"/>
          <w:lang w:val="bg-BG" w:eastAsia="ru-RU"/>
        </w:rPr>
        <w:t xml:space="preserve">Пазара </w:t>
      </w:r>
      <w:r>
        <w:rPr>
          <w:rFonts w:ascii="Verdana" w:eastAsia="Times New Roman" w:hAnsi="Verdana" w:cs="Times New Roman"/>
          <w:b/>
          <w:sz w:val="20"/>
          <w:szCs w:val="20"/>
          <w:lang w:val="bg-BG" w:eastAsia="ru-RU"/>
        </w:rPr>
        <w:t>н</w:t>
      </w:r>
      <w:r w:rsidRPr="00AC0E69">
        <w:rPr>
          <w:rFonts w:ascii="Verdana" w:eastAsia="Times New Roman" w:hAnsi="Verdana" w:cs="Times New Roman"/>
          <w:b/>
          <w:sz w:val="20"/>
          <w:szCs w:val="20"/>
          <w:lang w:val="bg-BG" w:eastAsia="ru-RU"/>
        </w:rPr>
        <w:t>а експресни куриерски услуги в Русия</w:t>
      </w:r>
      <w:r>
        <w:rPr>
          <w:rFonts w:ascii="Verdana" w:eastAsia="Times New Roman" w:hAnsi="Verdana" w:cs="Times New Roman"/>
          <w:b/>
          <w:sz w:val="20"/>
          <w:szCs w:val="20"/>
          <w:lang w:val="bg-BG" w:eastAsia="ru-RU"/>
        </w:rPr>
        <w:t>.</w:t>
      </w:r>
    </w:p>
    <w:p w:rsidR="00F17F6E" w:rsidRDefault="00F17F6E" w:rsidP="00F17F6E">
      <w:pPr>
        <w:spacing w:after="0"/>
        <w:ind w:firstLine="708"/>
        <w:jc w:val="both"/>
        <w:rPr>
          <w:rFonts w:ascii="Verdana" w:eastAsia="Times New Roman" w:hAnsi="Verdana" w:cs="Times New Roman"/>
          <w:sz w:val="20"/>
          <w:szCs w:val="20"/>
          <w:lang w:val="bg-BG" w:eastAsia="ru-RU"/>
        </w:rPr>
      </w:pPr>
      <w:r w:rsidRPr="00AC0E69">
        <w:rPr>
          <w:rFonts w:ascii="Verdana" w:eastAsia="Times New Roman" w:hAnsi="Verdana" w:cs="Times New Roman"/>
          <w:sz w:val="20"/>
          <w:szCs w:val="20"/>
          <w:lang w:val="bg-BG" w:eastAsia="ru-RU"/>
        </w:rPr>
        <w:t xml:space="preserve">Руският пазар показва стабилен ръст: според експерти на </w:t>
      </w:r>
      <w:proofErr w:type="spellStart"/>
      <w:r w:rsidRPr="00AC0E69">
        <w:rPr>
          <w:rFonts w:ascii="Verdana" w:eastAsia="Times New Roman" w:hAnsi="Verdana" w:cs="Times New Roman"/>
          <w:sz w:val="20"/>
          <w:szCs w:val="20"/>
          <w:lang w:val="bg-BG" w:eastAsia="ru-RU"/>
        </w:rPr>
        <w:t>J'son</w:t>
      </w:r>
      <w:proofErr w:type="spellEnd"/>
      <w:r w:rsidRPr="00AC0E69">
        <w:rPr>
          <w:rFonts w:ascii="Verdana" w:eastAsia="Times New Roman" w:hAnsi="Verdana" w:cs="Times New Roman"/>
          <w:sz w:val="20"/>
          <w:szCs w:val="20"/>
          <w:lang w:val="bg-BG" w:eastAsia="ru-RU"/>
        </w:rPr>
        <w:t xml:space="preserve"> &amp; </w:t>
      </w:r>
      <w:proofErr w:type="spellStart"/>
      <w:r w:rsidRPr="00AC0E69">
        <w:rPr>
          <w:rFonts w:ascii="Verdana" w:eastAsia="Times New Roman" w:hAnsi="Verdana" w:cs="Times New Roman"/>
          <w:sz w:val="20"/>
          <w:szCs w:val="20"/>
          <w:lang w:val="bg-BG" w:eastAsia="ru-RU"/>
        </w:rPr>
        <w:t>PartnersConsulting</w:t>
      </w:r>
      <w:proofErr w:type="spellEnd"/>
      <w:r w:rsidRPr="00AC0E69">
        <w:rPr>
          <w:rFonts w:ascii="Verdana" w:eastAsia="Times New Roman" w:hAnsi="Verdana" w:cs="Times New Roman"/>
          <w:sz w:val="20"/>
          <w:szCs w:val="20"/>
          <w:lang w:val="bg-BG" w:eastAsia="ru-RU"/>
        </w:rPr>
        <w:t>, от 2011 г. пазара е нараснал с 1.7 пъти и е достигнал 52 милиарда рубли.</w:t>
      </w:r>
    </w:p>
    <w:p w:rsidR="00F17F6E" w:rsidRDefault="00F17F6E" w:rsidP="00F17F6E">
      <w:pPr>
        <w:spacing w:after="0"/>
        <w:rPr>
          <w:rFonts w:ascii="Verdana" w:eastAsia="Times New Roman" w:hAnsi="Verdana" w:cs="Times New Roman"/>
          <w:sz w:val="20"/>
          <w:szCs w:val="20"/>
          <w:lang w:val="bg-BG" w:eastAsia="ru-RU"/>
        </w:rPr>
      </w:pPr>
    </w:p>
    <w:p w:rsidR="00F17F6E" w:rsidRDefault="00F17F6E" w:rsidP="00F17F6E">
      <w:pPr>
        <w:spacing w:after="0"/>
        <w:jc w:val="center"/>
        <w:rPr>
          <w:rFonts w:ascii="Verdana" w:eastAsia="Times New Roman" w:hAnsi="Verdana" w:cs="Times New Roman"/>
          <w:i/>
          <w:sz w:val="18"/>
          <w:szCs w:val="18"/>
          <w:lang w:val="bg-BG" w:eastAsia="ru-RU"/>
        </w:rPr>
      </w:pPr>
      <w:r w:rsidRPr="00AC0E69">
        <w:rPr>
          <w:rFonts w:ascii="Verdana" w:eastAsia="Times New Roman" w:hAnsi="Verdana" w:cs="Times New Roman"/>
          <w:i/>
          <w:sz w:val="18"/>
          <w:szCs w:val="18"/>
          <w:lang w:val="bg-BG" w:eastAsia="ru-RU"/>
        </w:rPr>
        <w:t>Обем на пазара за експресни куриерски услуги в Русия, милиарди рубли</w:t>
      </w:r>
    </w:p>
    <w:p w:rsidR="00F17F6E" w:rsidRDefault="00F17F6E" w:rsidP="00F17F6E">
      <w:pPr>
        <w:spacing w:after="0"/>
        <w:jc w:val="center"/>
        <w:rPr>
          <w:rFonts w:ascii="Verdana" w:eastAsia="Times New Roman" w:hAnsi="Verdana" w:cs="Times New Roman"/>
          <w:i/>
          <w:sz w:val="18"/>
          <w:szCs w:val="18"/>
          <w:lang w:val="bg-BG" w:eastAsia="ru-RU"/>
        </w:rPr>
      </w:pPr>
      <w:r w:rsidRPr="008745F5">
        <w:rPr>
          <w:rFonts w:ascii="Times New Roman" w:eastAsia="Times New Roman" w:hAnsi="Times New Roman" w:cs="Times New Roman"/>
          <w:noProof/>
          <w:sz w:val="24"/>
          <w:szCs w:val="24"/>
          <w:lang w:eastAsia="ru-RU"/>
        </w:rPr>
        <w:lastRenderedPageBreak/>
        <w:drawing>
          <wp:inline distT="0" distB="0" distL="0" distR="0" wp14:anchorId="2E128D74" wp14:editId="18C97090">
            <wp:extent cx="4102100" cy="2362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17F6E" w:rsidRDefault="00F17F6E" w:rsidP="00F17F6E">
      <w:pPr>
        <w:spacing w:after="0"/>
        <w:jc w:val="center"/>
        <w:rPr>
          <w:rFonts w:ascii="Verdana" w:eastAsia="Times New Roman" w:hAnsi="Verdana" w:cs="Times New Roman"/>
          <w:i/>
          <w:sz w:val="18"/>
          <w:szCs w:val="18"/>
          <w:lang w:val="bg-BG" w:eastAsia="ru-RU"/>
        </w:rPr>
      </w:pPr>
    </w:p>
    <w:p w:rsidR="00F17F6E" w:rsidRPr="00874693" w:rsidRDefault="00F17F6E" w:rsidP="00F17F6E">
      <w:pPr>
        <w:spacing w:after="0"/>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 xml:space="preserve">Въпреки това, темповете на растеж на пазара </w:t>
      </w:r>
      <w:r>
        <w:rPr>
          <w:rFonts w:ascii="Verdana" w:eastAsia="Times New Roman" w:hAnsi="Verdana" w:cs="Times New Roman"/>
          <w:sz w:val="20"/>
          <w:szCs w:val="20"/>
          <w:lang w:val="bg-BG" w:eastAsia="ru-RU"/>
        </w:rPr>
        <w:t xml:space="preserve">постепенно </w:t>
      </w:r>
      <w:r w:rsidRPr="00874693">
        <w:rPr>
          <w:rFonts w:ascii="Verdana" w:eastAsia="Times New Roman" w:hAnsi="Verdana" w:cs="Times New Roman"/>
          <w:sz w:val="20"/>
          <w:szCs w:val="20"/>
          <w:lang w:val="bg-BG" w:eastAsia="ru-RU"/>
        </w:rPr>
        <w:t>намаля</w:t>
      </w:r>
      <w:r>
        <w:rPr>
          <w:rFonts w:ascii="Verdana" w:eastAsia="Times New Roman" w:hAnsi="Verdana" w:cs="Times New Roman"/>
          <w:sz w:val="20"/>
          <w:szCs w:val="20"/>
          <w:lang w:val="bg-BG" w:eastAsia="ru-RU"/>
        </w:rPr>
        <w:t>ват</w:t>
      </w:r>
      <w:r w:rsidRPr="00874693">
        <w:rPr>
          <w:rFonts w:ascii="Verdana" w:eastAsia="Times New Roman" w:hAnsi="Verdana" w:cs="Times New Roman"/>
          <w:sz w:val="20"/>
          <w:szCs w:val="20"/>
          <w:lang w:val="bg-BG" w:eastAsia="ru-RU"/>
        </w:rPr>
        <w:t>. Ако през 2011-2012 г. темпът на ръст е бил около 27%, то през 2014 г. той е намалял до 10,5%. Експертите</w:t>
      </w:r>
      <w:r>
        <w:rPr>
          <w:rFonts w:ascii="Verdana" w:eastAsia="Times New Roman" w:hAnsi="Verdana" w:cs="Times New Roman"/>
          <w:sz w:val="20"/>
          <w:szCs w:val="20"/>
          <w:lang w:val="bg-BG" w:eastAsia="ru-RU"/>
        </w:rPr>
        <w:t xml:space="preserve"> на </w:t>
      </w:r>
      <w:proofErr w:type="spellStart"/>
      <w:r>
        <w:rPr>
          <w:rFonts w:ascii="Verdana" w:eastAsia="Times New Roman" w:hAnsi="Verdana" w:cs="Times New Roman"/>
          <w:sz w:val="20"/>
          <w:szCs w:val="20"/>
          <w:lang w:val="bg-BG" w:eastAsia="ru-RU"/>
        </w:rPr>
        <w:t>J'son</w:t>
      </w:r>
      <w:proofErr w:type="spellEnd"/>
      <w:r>
        <w:rPr>
          <w:rFonts w:ascii="Verdana" w:eastAsia="Times New Roman" w:hAnsi="Verdana" w:cs="Times New Roman"/>
          <w:sz w:val="20"/>
          <w:szCs w:val="20"/>
          <w:lang w:val="bg-BG" w:eastAsia="ru-RU"/>
        </w:rPr>
        <w:t xml:space="preserve"> &amp; </w:t>
      </w:r>
      <w:proofErr w:type="spellStart"/>
      <w:r>
        <w:rPr>
          <w:rFonts w:ascii="Verdana" w:eastAsia="Times New Roman" w:hAnsi="Verdana" w:cs="Times New Roman"/>
          <w:sz w:val="20"/>
          <w:szCs w:val="20"/>
          <w:lang w:val="bg-BG" w:eastAsia="ru-RU"/>
        </w:rPr>
        <w:t>PartnersConsulting</w:t>
      </w:r>
      <w:proofErr w:type="spellEnd"/>
      <w:r>
        <w:rPr>
          <w:rFonts w:ascii="Verdana" w:eastAsia="Times New Roman" w:hAnsi="Verdana" w:cs="Times New Roman"/>
          <w:sz w:val="20"/>
          <w:szCs w:val="20"/>
          <w:lang w:val="bg-BG" w:eastAsia="ru-RU"/>
        </w:rPr>
        <w:t xml:space="preserve"> </w:t>
      </w:r>
      <w:r w:rsidRPr="00874693">
        <w:rPr>
          <w:rFonts w:ascii="Verdana" w:eastAsia="Times New Roman" w:hAnsi="Verdana" w:cs="Times New Roman"/>
          <w:sz w:val="20"/>
          <w:szCs w:val="20"/>
          <w:lang w:val="bg-BG" w:eastAsia="ru-RU"/>
        </w:rPr>
        <w:t xml:space="preserve">прогнозират </w:t>
      </w:r>
      <w:r>
        <w:rPr>
          <w:rFonts w:ascii="Verdana" w:eastAsia="Times New Roman" w:hAnsi="Verdana" w:cs="Times New Roman"/>
          <w:sz w:val="20"/>
          <w:szCs w:val="20"/>
          <w:lang w:val="bg-BG" w:eastAsia="ru-RU"/>
        </w:rPr>
        <w:t xml:space="preserve">и </w:t>
      </w:r>
      <w:r w:rsidRPr="00874693">
        <w:rPr>
          <w:rFonts w:ascii="Verdana" w:eastAsia="Times New Roman" w:hAnsi="Verdana" w:cs="Times New Roman"/>
          <w:sz w:val="20"/>
          <w:szCs w:val="20"/>
          <w:lang w:val="bg-BG" w:eastAsia="ru-RU"/>
        </w:rPr>
        <w:t>по-нататъшно забавяне на темповете на ръст и през 2015 г., което се дължи на икономическите сътресения и намаляването на покупателната способност на населението.</w:t>
      </w:r>
    </w:p>
    <w:p w:rsidR="00F17F6E" w:rsidRDefault="00F17F6E" w:rsidP="00F17F6E">
      <w:pPr>
        <w:spacing w:after="0"/>
        <w:rPr>
          <w:rFonts w:ascii="Verdana" w:eastAsia="Times New Roman" w:hAnsi="Verdana" w:cs="Times New Roman"/>
          <w:b/>
          <w:sz w:val="18"/>
          <w:szCs w:val="18"/>
          <w:lang w:val="bg-BG" w:eastAsia="ru-RU"/>
        </w:rPr>
      </w:pPr>
    </w:p>
    <w:p w:rsidR="00F17F6E" w:rsidRPr="00AC0E69" w:rsidRDefault="00F17F6E" w:rsidP="00F17F6E">
      <w:pPr>
        <w:spacing w:after="0"/>
        <w:rPr>
          <w:rFonts w:ascii="Verdana" w:eastAsia="Times New Roman" w:hAnsi="Verdana" w:cs="Times New Roman"/>
          <w:b/>
          <w:sz w:val="18"/>
          <w:szCs w:val="18"/>
          <w:lang w:val="bg-BG" w:eastAsia="ru-RU"/>
        </w:rPr>
      </w:pPr>
      <w:r w:rsidRPr="00AC0E69">
        <w:rPr>
          <w:rFonts w:ascii="Verdana" w:eastAsia="Times New Roman" w:hAnsi="Verdana" w:cs="Times New Roman"/>
          <w:b/>
          <w:sz w:val="18"/>
          <w:szCs w:val="18"/>
          <w:lang w:val="bg-BG" w:eastAsia="ru-RU"/>
        </w:rPr>
        <w:t>Най-големите компании в бранша</w:t>
      </w:r>
      <w:r>
        <w:rPr>
          <w:rFonts w:ascii="Verdana" w:eastAsia="Times New Roman" w:hAnsi="Verdana" w:cs="Times New Roman"/>
          <w:b/>
          <w:sz w:val="18"/>
          <w:szCs w:val="18"/>
          <w:lang w:val="bg-BG" w:eastAsia="ru-RU"/>
        </w:rPr>
        <w:t>.</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 xml:space="preserve">Според наличните данни, през 2013 г. най-голям дял на руския пазар за експресни куриерски услуги принадлежи на DHL. Също така, известни </w:t>
      </w:r>
      <w:r>
        <w:rPr>
          <w:rFonts w:ascii="Verdana" w:eastAsia="Times New Roman" w:hAnsi="Verdana" w:cs="Times New Roman"/>
          <w:sz w:val="20"/>
          <w:szCs w:val="20"/>
          <w:lang w:val="bg-BG" w:eastAsia="ru-RU"/>
        </w:rPr>
        <w:t xml:space="preserve">участници на пазара са </w:t>
      </w:r>
      <w:r w:rsidRPr="00874693">
        <w:rPr>
          <w:rFonts w:ascii="Verdana" w:eastAsia="Times New Roman" w:hAnsi="Verdana" w:cs="Times New Roman"/>
          <w:sz w:val="20"/>
          <w:szCs w:val="20"/>
          <w:lang w:val="bg-BG" w:eastAsia="ru-RU"/>
        </w:rPr>
        <w:t xml:space="preserve">DPD, </w:t>
      </w:r>
      <w:proofErr w:type="spellStart"/>
      <w:r w:rsidRPr="00874693">
        <w:rPr>
          <w:rFonts w:ascii="Verdana" w:eastAsia="Times New Roman" w:hAnsi="Verdana" w:cs="Times New Roman"/>
          <w:sz w:val="20"/>
          <w:szCs w:val="20"/>
          <w:lang w:val="bg-BG" w:eastAsia="ru-RU"/>
        </w:rPr>
        <w:t>Pony</w:t>
      </w:r>
      <w:proofErr w:type="spellEnd"/>
      <w:r w:rsidRPr="00874693">
        <w:rPr>
          <w:rFonts w:ascii="Verdana" w:eastAsia="Times New Roman" w:hAnsi="Verdana" w:cs="Times New Roman"/>
          <w:sz w:val="20"/>
          <w:szCs w:val="20"/>
          <w:lang w:val="bg-BG" w:eastAsia="ru-RU"/>
        </w:rPr>
        <w:t xml:space="preserve"> Express, EMS Russian </w:t>
      </w:r>
      <w:proofErr w:type="spellStart"/>
      <w:r w:rsidRPr="00874693">
        <w:rPr>
          <w:rFonts w:ascii="Verdana" w:eastAsia="Times New Roman" w:hAnsi="Verdana" w:cs="Times New Roman"/>
          <w:sz w:val="20"/>
          <w:szCs w:val="20"/>
          <w:lang w:val="bg-BG" w:eastAsia="ru-RU"/>
        </w:rPr>
        <w:t>Post</w:t>
      </w:r>
      <w:proofErr w:type="spellEnd"/>
      <w:r w:rsidRPr="00874693">
        <w:rPr>
          <w:rFonts w:ascii="Verdana" w:eastAsia="Times New Roman" w:hAnsi="Verdana" w:cs="Times New Roman"/>
          <w:sz w:val="20"/>
          <w:szCs w:val="20"/>
          <w:lang w:val="bg-BG" w:eastAsia="ru-RU"/>
        </w:rPr>
        <w:t xml:space="preserve">,  </w:t>
      </w:r>
      <w:proofErr w:type="spellStart"/>
      <w:r w:rsidRPr="00874693">
        <w:rPr>
          <w:rFonts w:ascii="Verdana" w:eastAsia="Times New Roman" w:hAnsi="Verdana" w:cs="Times New Roman"/>
          <w:sz w:val="20"/>
          <w:szCs w:val="20"/>
          <w:lang w:val="bg-BG" w:eastAsia="ru-RU"/>
        </w:rPr>
        <w:t>Major</w:t>
      </w:r>
      <w:proofErr w:type="spellEnd"/>
      <w:r w:rsidRPr="00874693">
        <w:rPr>
          <w:rFonts w:ascii="Verdana" w:eastAsia="Times New Roman" w:hAnsi="Verdana" w:cs="Times New Roman"/>
          <w:sz w:val="20"/>
          <w:szCs w:val="20"/>
          <w:lang w:val="bg-BG" w:eastAsia="ru-RU"/>
        </w:rPr>
        <w:t xml:space="preserve"> Express и SPSR Express.</w:t>
      </w:r>
    </w:p>
    <w:p w:rsidR="00F17F6E" w:rsidRDefault="00F17F6E" w:rsidP="00F17F6E">
      <w:pPr>
        <w:spacing w:after="0"/>
        <w:jc w:val="both"/>
        <w:rPr>
          <w:rFonts w:ascii="Verdana" w:eastAsia="Times New Roman" w:hAnsi="Verdana" w:cs="Times New Roman"/>
          <w:b/>
          <w:sz w:val="20"/>
          <w:szCs w:val="20"/>
          <w:lang w:val="bg-BG" w:eastAsia="ru-RU"/>
        </w:rPr>
      </w:pPr>
    </w:p>
    <w:p w:rsidR="00F17F6E" w:rsidRPr="00874693" w:rsidRDefault="00F17F6E" w:rsidP="00F17F6E">
      <w:pPr>
        <w:spacing w:after="0"/>
        <w:jc w:val="both"/>
        <w:rPr>
          <w:rFonts w:ascii="Verdana" w:eastAsia="Times New Roman" w:hAnsi="Verdana" w:cs="Times New Roman"/>
          <w:b/>
          <w:sz w:val="20"/>
          <w:szCs w:val="20"/>
          <w:lang w:val="bg-BG" w:eastAsia="ru-RU"/>
        </w:rPr>
      </w:pPr>
      <w:r w:rsidRPr="00874693">
        <w:rPr>
          <w:rFonts w:ascii="Verdana" w:eastAsia="Times New Roman" w:hAnsi="Verdana" w:cs="Times New Roman"/>
          <w:b/>
          <w:sz w:val="20"/>
          <w:szCs w:val="20"/>
          <w:lang w:val="bg-BG" w:eastAsia="ru-RU"/>
        </w:rPr>
        <w:t>Експресни доставки за онлайн магазините</w:t>
      </w:r>
      <w:r>
        <w:rPr>
          <w:rFonts w:ascii="Verdana" w:eastAsia="Times New Roman" w:hAnsi="Verdana" w:cs="Times New Roman"/>
          <w:b/>
          <w:sz w:val="20"/>
          <w:szCs w:val="20"/>
          <w:lang w:val="bg-BG" w:eastAsia="ru-RU"/>
        </w:rPr>
        <w:t>.</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 xml:space="preserve">На пазара за експресни куриерски доставки, експертите на </w:t>
      </w:r>
      <w:proofErr w:type="spellStart"/>
      <w:r w:rsidRPr="00874693">
        <w:rPr>
          <w:rFonts w:ascii="Verdana" w:eastAsia="Times New Roman" w:hAnsi="Verdana" w:cs="Times New Roman"/>
          <w:sz w:val="20"/>
          <w:szCs w:val="20"/>
          <w:lang w:val="bg-BG" w:eastAsia="ru-RU"/>
        </w:rPr>
        <w:t>J'son</w:t>
      </w:r>
      <w:proofErr w:type="spellEnd"/>
      <w:r w:rsidRPr="00874693">
        <w:rPr>
          <w:rFonts w:ascii="Verdana" w:eastAsia="Times New Roman" w:hAnsi="Verdana" w:cs="Times New Roman"/>
          <w:sz w:val="20"/>
          <w:szCs w:val="20"/>
          <w:lang w:val="bg-BG" w:eastAsia="ru-RU"/>
        </w:rPr>
        <w:t xml:space="preserve"> &amp; </w:t>
      </w:r>
      <w:proofErr w:type="spellStart"/>
      <w:r w:rsidRPr="00874693">
        <w:rPr>
          <w:rFonts w:ascii="Verdana" w:eastAsia="Times New Roman" w:hAnsi="Verdana" w:cs="Times New Roman"/>
          <w:sz w:val="20"/>
          <w:szCs w:val="20"/>
          <w:lang w:val="bg-BG" w:eastAsia="ru-RU"/>
        </w:rPr>
        <w:t>Partners</w:t>
      </w:r>
      <w:proofErr w:type="spellEnd"/>
      <w:r w:rsidRPr="00874693">
        <w:rPr>
          <w:rFonts w:ascii="Verdana" w:eastAsia="Times New Roman" w:hAnsi="Verdana" w:cs="Times New Roman"/>
          <w:sz w:val="20"/>
          <w:szCs w:val="20"/>
          <w:lang w:val="bg-BG" w:eastAsia="ru-RU"/>
        </w:rPr>
        <w:t xml:space="preserve"> Consulting разграничават фирми, които се специализират в доставки на онлайн магазините. Сред тези компании са:</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AC0E69">
        <w:rPr>
          <w:rFonts w:ascii="Verdana" w:eastAsia="Times New Roman" w:hAnsi="Verdana" w:cs="Times New Roman"/>
          <w:sz w:val="18"/>
          <w:szCs w:val="18"/>
          <w:lang w:val="bg-BG" w:eastAsia="ru-RU"/>
        </w:rPr>
        <w:t>•</w:t>
      </w:r>
      <w:r w:rsidRPr="00AC0E69">
        <w:rPr>
          <w:rFonts w:ascii="Verdana" w:eastAsia="Times New Roman" w:hAnsi="Verdana" w:cs="Times New Roman"/>
          <w:sz w:val="18"/>
          <w:szCs w:val="18"/>
          <w:lang w:val="bg-BG" w:eastAsia="ru-RU"/>
        </w:rPr>
        <w:tab/>
      </w:r>
      <w:proofErr w:type="spellStart"/>
      <w:r w:rsidRPr="00B8164A">
        <w:rPr>
          <w:rFonts w:ascii="Verdana" w:eastAsia="Times New Roman" w:hAnsi="Verdana" w:cs="Times New Roman"/>
          <w:sz w:val="20"/>
          <w:szCs w:val="20"/>
          <w:lang w:val="bg-BG" w:eastAsia="ru-RU"/>
        </w:rPr>
        <w:t>Im-Logistics</w:t>
      </w:r>
      <w:proofErr w:type="spellEnd"/>
      <w:r w:rsidRPr="00B8164A">
        <w:rPr>
          <w:rFonts w:ascii="Verdana" w:eastAsia="Times New Roman" w:hAnsi="Verdana" w:cs="Times New Roman"/>
          <w:sz w:val="20"/>
          <w:szCs w:val="20"/>
          <w:lang w:val="bg-BG" w:eastAsia="ru-RU"/>
        </w:rPr>
        <w:t>;</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t>«</w:t>
      </w:r>
      <w:proofErr w:type="spellStart"/>
      <w:r w:rsidRPr="00B8164A">
        <w:rPr>
          <w:rFonts w:ascii="Verdana" w:eastAsia="Times New Roman" w:hAnsi="Verdana" w:cs="Times New Roman"/>
          <w:sz w:val="20"/>
          <w:szCs w:val="20"/>
          <w:lang w:val="bg-BG" w:eastAsia="ru-RU"/>
        </w:rPr>
        <w:t>Аксиомус</w:t>
      </w:r>
      <w:proofErr w:type="spellEnd"/>
      <w:r w:rsidRPr="00B8164A">
        <w:rPr>
          <w:rFonts w:ascii="Verdana" w:eastAsia="Times New Roman" w:hAnsi="Verdana" w:cs="Times New Roman"/>
          <w:sz w:val="20"/>
          <w:szCs w:val="20"/>
          <w:lang w:val="bg-BG" w:eastAsia="ru-RU"/>
        </w:rPr>
        <w:t>»;</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t>«</w:t>
      </w:r>
      <w:proofErr w:type="spellStart"/>
      <w:r w:rsidRPr="00B8164A">
        <w:rPr>
          <w:rFonts w:ascii="Verdana" w:eastAsia="Times New Roman" w:hAnsi="Verdana" w:cs="Times New Roman"/>
          <w:sz w:val="20"/>
          <w:szCs w:val="20"/>
          <w:lang w:val="bg-BG" w:eastAsia="ru-RU"/>
        </w:rPr>
        <w:t>Макси-пост</w:t>
      </w:r>
      <w:proofErr w:type="spellEnd"/>
      <w:r w:rsidRPr="00B8164A">
        <w:rPr>
          <w:rFonts w:ascii="Verdana" w:eastAsia="Times New Roman" w:hAnsi="Verdana" w:cs="Times New Roman"/>
          <w:sz w:val="20"/>
          <w:szCs w:val="20"/>
          <w:lang w:val="bg-BG" w:eastAsia="ru-RU"/>
        </w:rPr>
        <w:t>»;</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t>«</w:t>
      </w:r>
      <w:proofErr w:type="spellStart"/>
      <w:r w:rsidRPr="00B8164A">
        <w:rPr>
          <w:rFonts w:ascii="Verdana" w:eastAsia="Times New Roman" w:hAnsi="Verdana" w:cs="Times New Roman"/>
          <w:sz w:val="20"/>
          <w:szCs w:val="20"/>
          <w:lang w:val="bg-BG" w:eastAsia="ru-RU"/>
        </w:rPr>
        <w:t>Алгоритм</w:t>
      </w:r>
      <w:proofErr w:type="spellEnd"/>
      <w:r w:rsidRPr="00B8164A">
        <w:rPr>
          <w:rFonts w:ascii="Verdana" w:eastAsia="Times New Roman" w:hAnsi="Verdana" w:cs="Times New Roman"/>
          <w:sz w:val="20"/>
          <w:szCs w:val="20"/>
          <w:lang w:val="bg-BG" w:eastAsia="ru-RU"/>
        </w:rPr>
        <w:t>»;</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r>
      <w:proofErr w:type="spellStart"/>
      <w:r w:rsidRPr="00B8164A">
        <w:rPr>
          <w:rFonts w:ascii="Verdana" w:eastAsia="Times New Roman" w:hAnsi="Verdana" w:cs="Times New Roman"/>
          <w:sz w:val="20"/>
          <w:szCs w:val="20"/>
          <w:lang w:val="bg-BG" w:eastAsia="ru-RU"/>
        </w:rPr>
        <w:t>Shop-Logistics</w:t>
      </w:r>
      <w:proofErr w:type="spellEnd"/>
      <w:r w:rsidRPr="00B8164A">
        <w:rPr>
          <w:rFonts w:ascii="Verdana" w:eastAsia="Times New Roman" w:hAnsi="Verdana" w:cs="Times New Roman"/>
          <w:sz w:val="20"/>
          <w:szCs w:val="20"/>
          <w:lang w:val="bg-BG" w:eastAsia="ru-RU"/>
        </w:rPr>
        <w:t>;</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t>«B2C Платежи и Логистика»;</w:t>
      </w:r>
    </w:p>
    <w:p w:rsidR="00F17F6E" w:rsidRPr="00B8164A" w:rsidRDefault="00F17F6E" w:rsidP="00F17F6E">
      <w:pPr>
        <w:spacing w:after="0"/>
        <w:ind w:firstLine="708"/>
        <w:rPr>
          <w:rFonts w:ascii="Verdana" w:eastAsia="Times New Roman" w:hAnsi="Verdana" w:cs="Times New Roman"/>
          <w:sz w:val="20"/>
          <w:szCs w:val="20"/>
          <w:lang w:val="bg-BG" w:eastAsia="ru-RU"/>
        </w:rPr>
      </w:pPr>
      <w:r w:rsidRPr="00B8164A">
        <w:rPr>
          <w:rFonts w:ascii="Verdana" w:eastAsia="Times New Roman" w:hAnsi="Verdana" w:cs="Times New Roman"/>
          <w:sz w:val="20"/>
          <w:szCs w:val="20"/>
          <w:lang w:val="bg-BG" w:eastAsia="ru-RU"/>
        </w:rPr>
        <w:t>•</w:t>
      </w:r>
      <w:r w:rsidRPr="00B8164A">
        <w:rPr>
          <w:rFonts w:ascii="Verdana" w:eastAsia="Times New Roman" w:hAnsi="Verdana" w:cs="Times New Roman"/>
          <w:sz w:val="20"/>
          <w:szCs w:val="20"/>
          <w:lang w:val="bg-BG" w:eastAsia="ru-RU"/>
        </w:rPr>
        <w:tab/>
      </w:r>
      <w:proofErr w:type="spellStart"/>
      <w:r w:rsidRPr="00B8164A">
        <w:rPr>
          <w:rFonts w:ascii="Verdana" w:eastAsia="Times New Roman" w:hAnsi="Verdana" w:cs="Times New Roman"/>
          <w:sz w:val="20"/>
          <w:szCs w:val="20"/>
          <w:lang w:val="bg-BG" w:eastAsia="ru-RU"/>
        </w:rPr>
        <w:t>Top-Delivery</w:t>
      </w:r>
      <w:proofErr w:type="spellEnd"/>
      <w:r w:rsidRPr="00B8164A">
        <w:rPr>
          <w:rFonts w:ascii="Verdana" w:eastAsia="Times New Roman" w:hAnsi="Verdana" w:cs="Times New Roman"/>
          <w:sz w:val="20"/>
          <w:szCs w:val="20"/>
          <w:lang w:val="bg-BG" w:eastAsia="ru-RU"/>
        </w:rPr>
        <w:t xml:space="preserve"> и </w:t>
      </w:r>
      <w:proofErr w:type="spellStart"/>
      <w:r w:rsidRPr="00B8164A">
        <w:rPr>
          <w:rFonts w:ascii="Verdana" w:eastAsia="Times New Roman" w:hAnsi="Verdana" w:cs="Times New Roman"/>
          <w:sz w:val="20"/>
          <w:szCs w:val="20"/>
          <w:lang w:val="bg-BG" w:eastAsia="ru-RU"/>
        </w:rPr>
        <w:t>другие</w:t>
      </w:r>
      <w:proofErr w:type="spellEnd"/>
      <w:r w:rsidRPr="00B8164A">
        <w:rPr>
          <w:rFonts w:ascii="Verdana" w:eastAsia="Times New Roman" w:hAnsi="Verdana" w:cs="Times New Roman"/>
          <w:sz w:val="20"/>
          <w:szCs w:val="20"/>
          <w:lang w:val="bg-BG" w:eastAsia="ru-RU"/>
        </w:rPr>
        <w:t>.</w:t>
      </w:r>
    </w:p>
    <w:p w:rsidR="00F17F6E"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Наблюдава се ниска консолидация в този сегмент, тъй като основните играчи заемат не повече от 5% от него.</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p>
    <w:p w:rsidR="00F17F6E" w:rsidRPr="00B8164A" w:rsidRDefault="00F17F6E" w:rsidP="00F17F6E">
      <w:pPr>
        <w:spacing w:after="0"/>
        <w:rPr>
          <w:rFonts w:ascii="Verdana" w:eastAsia="Times New Roman" w:hAnsi="Verdana" w:cs="Times New Roman"/>
          <w:b/>
          <w:sz w:val="20"/>
          <w:szCs w:val="20"/>
          <w:lang w:val="bg-BG" w:eastAsia="ru-RU"/>
        </w:rPr>
      </w:pPr>
      <w:r w:rsidRPr="00B8164A">
        <w:rPr>
          <w:rFonts w:ascii="Verdana" w:eastAsia="Times New Roman" w:hAnsi="Verdana" w:cs="Times New Roman"/>
          <w:b/>
          <w:sz w:val="20"/>
          <w:szCs w:val="20"/>
          <w:lang w:val="bg-BG" w:eastAsia="ru-RU"/>
        </w:rPr>
        <w:t>Основни услуги и география на доставките.</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 xml:space="preserve">Сред основните услуги, които предоставят експресните куриерски служби за онлайн магазините, експертите на </w:t>
      </w:r>
      <w:proofErr w:type="spellStart"/>
      <w:r w:rsidRPr="00874693">
        <w:rPr>
          <w:rFonts w:ascii="Verdana" w:eastAsia="Times New Roman" w:hAnsi="Verdana" w:cs="Times New Roman"/>
          <w:sz w:val="20"/>
          <w:szCs w:val="20"/>
          <w:lang w:val="bg-BG" w:eastAsia="ru-RU"/>
        </w:rPr>
        <w:t>J'son</w:t>
      </w:r>
      <w:proofErr w:type="spellEnd"/>
      <w:r w:rsidRPr="00874693">
        <w:rPr>
          <w:rFonts w:ascii="Verdana" w:eastAsia="Times New Roman" w:hAnsi="Verdana" w:cs="Times New Roman"/>
          <w:sz w:val="20"/>
          <w:szCs w:val="20"/>
          <w:lang w:val="bg-BG" w:eastAsia="ru-RU"/>
        </w:rPr>
        <w:t xml:space="preserve"> &amp; </w:t>
      </w:r>
      <w:proofErr w:type="spellStart"/>
      <w:r w:rsidRPr="00874693">
        <w:rPr>
          <w:rFonts w:ascii="Verdana" w:eastAsia="Times New Roman" w:hAnsi="Verdana" w:cs="Times New Roman"/>
          <w:sz w:val="20"/>
          <w:szCs w:val="20"/>
          <w:lang w:val="bg-BG" w:eastAsia="ru-RU"/>
        </w:rPr>
        <w:t>Partners</w:t>
      </w:r>
      <w:proofErr w:type="spellEnd"/>
      <w:r w:rsidRPr="00874693">
        <w:rPr>
          <w:rFonts w:ascii="Verdana" w:eastAsia="Times New Roman" w:hAnsi="Verdana" w:cs="Times New Roman"/>
          <w:sz w:val="20"/>
          <w:szCs w:val="20"/>
          <w:lang w:val="bg-BG" w:eastAsia="ru-RU"/>
        </w:rPr>
        <w:t xml:space="preserve"> Consulting, разграничават експресни доставки, складиране, съхранение, сортиране и пакетиране на поръчки.</w:t>
      </w:r>
    </w:p>
    <w:p w:rsidR="00F17F6E"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Според експерти от индустрията, пазарът се разраства благодарение и на географската експанзия. Всички участници, работещи на този пазар откриват офиси в средните и малки градове. Повечето от тях извършват куриерск</w:t>
      </w:r>
      <w:r>
        <w:rPr>
          <w:rFonts w:ascii="Verdana" w:eastAsia="Times New Roman" w:hAnsi="Verdana" w:cs="Times New Roman"/>
          <w:sz w:val="20"/>
          <w:szCs w:val="20"/>
          <w:lang w:val="bg-BG" w:eastAsia="ru-RU"/>
        </w:rPr>
        <w:t>а</w:t>
      </w:r>
      <w:r w:rsidRPr="00874693">
        <w:rPr>
          <w:rFonts w:ascii="Verdana" w:eastAsia="Times New Roman" w:hAnsi="Verdana" w:cs="Times New Roman"/>
          <w:sz w:val="20"/>
          <w:szCs w:val="20"/>
          <w:lang w:val="bg-BG" w:eastAsia="ru-RU"/>
        </w:rPr>
        <w:t xml:space="preserve"> дейност </w:t>
      </w:r>
      <w:r>
        <w:rPr>
          <w:rFonts w:ascii="Verdana" w:eastAsia="Times New Roman" w:hAnsi="Verdana" w:cs="Times New Roman"/>
          <w:sz w:val="20"/>
          <w:szCs w:val="20"/>
          <w:lang w:val="bg-BG" w:eastAsia="ru-RU"/>
        </w:rPr>
        <w:t>в</w:t>
      </w:r>
      <w:r w:rsidRPr="00874693">
        <w:rPr>
          <w:rFonts w:ascii="Verdana" w:eastAsia="Times New Roman" w:hAnsi="Verdana" w:cs="Times New Roman"/>
          <w:sz w:val="20"/>
          <w:szCs w:val="20"/>
          <w:lang w:val="bg-BG" w:eastAsia="ru-RU"/>
        </w:rPr>
        <w:t xml:space="preserve"> Руската федерация; индивидуални играчи доставят товари към страните от ОНД и други държави. Според наличната информация, делът на Москва, Санкт Петербург и мегаполисите съставлява най-малко 70% от общия обем. Въпреки преобладаващия дял на Москва и Санкт Петербург в обема на трафика, пазарът също се увеличава </w:t>
      </w:r>
      <w:r>
        <w:rPr>
          <w:rFonts w:ascii="Verdana" w:eastAsia="Times New Roman" w:hAnsi="Verdana" w:cs="Times New Roman"/>
          <w:sz w:val="20"/>
          <w:szCs w:val="20"/>
          <w:lang w:val="bg-BG" w:eastAsia="ru-RU"/>
        </w:rPr>
        <w:t xml:space="preserve">и </w:t>
      </w:r>
      <w:r w:rsidRPr="00874693">
        <w:rPr>
          <w:rFonts w:ascii="Verdana" w:eastAsia="Times New Roman" w:hAnsi="Verdana" w:cs="Times New Roman"/>
          <w:sz w:val="20"/>
          <w:szCs w:val="20"/>
          <w:lang w:val="bg-BG" w:eastAsia="ru-RU"/>
        </w:rPr>
        <w:t>за сметка на другите региони.</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p>
    <w:p w:rsidR="00F17F6E" w:rsidRPr="00B8164A" w:rsidRDefault="00F17F6E" w:rsidP="00F17F6E">
      <w:pPr>
        <w:spacing w:after="0"/>
        <w:jc w:val="both"/>
        <w:rPr>
          <w:rFonts w:ascii="Verdana" w:eastAsia="Times New Roman" w:hAnsi="Verdana" w:cs="Times New Roman"/>
          <w:b/>
          <w:sz w:val="20"/>
          <w:szCs w:val="20"/>
          <w:lang w:val="bg-BG" w:eastAsia="ru-RU"/>
        </w:rPr>
      </w:pPr>
      <w:r w:rsidRPr="00B8164A">
        <w:rPr>
          <w:rFonts w:ascii="Verdana" w:eastAsia="Times New Roman" w:hAnsi="Verdana" w:cs="Times New Roman"/>
          <w:b/>
          <w:sz w:val="20"/>
          <w:szCs w:val="20"/>
          <w:lang w:val="bg-BG" w:eastAsia="ru-RU"/>
        </w:rPr>
        <w:lastRenderedPageBreak/>
        <w:t>Поява и развитие на  автоматизирани пощенски станции</w:t>
      </w:r>
      <w:r>
        <w:rPr>
          <w:rFonts w:ascii="Verdana" w:eastAsia="Times New Roman" w:hAnsi="Verdana" w:cs="Times New Roman"/>
          <w:b/>
          <w:sz w:val="20"/>
          <w:szCs w:val="20"/>
          <w:lang w:val="bg-BG" w:eastAsia="ru-RU"/>
        </w:rPr>
        <w:t>.</w:t>
      </w:r>
    </w:p>
    <w:p w:rsidR="00F17F6E" w:rsidRPr="00874693" w:rsidRDefault="00F17F6E" w:rsidP="00F17F6E">
      <w:pPr>
        <w:spacing w:after="0"/>
        <w:ind w:firstLine="708"/>
        <w:jc w:val="both"/>
        <w:rPr>
          <w:rFonts w:ascii="Verdana" w:eastAsia="Times New Roman" w:hAnsi="Verdana" w:cs="Times New Roman"/>
          <w:sz w:val="20"/>
          <w:szCs w:val="20"/>
          <w:lang w:val="bg-BG" w:eastAsia="ru-RU"/>
        </w:rPr>
      </w:pPr>
      <w:r w:rsidRPr="00874693">
        <w:rPr>
          <w:rFonts w:ascii="Verdana" w:eastAsia="Times New Roman" w:hAnsi="Verdana" w:cs="Times New Roman"/>
          <w:sz w:val="20"/>
          <w:szCs w:val="20"/>
          <w:lang w:val="bg-BG" w:eastAsia="ru-RU"/>
        </w:rPr>
        <w:t xml:space="preserve">На пазара за експресни доставки в Русия има фирми, които развиват мрежи от автоматизирани пощенски станции - терминали с автоматизирани клетки за съхранение и доставка на товари. Според </w:t>
      </w:r>
      <w:proofErr w:type="spellStart"/>
      <w:r w:rsidRPr="00874693">
        <w:rPr>
          <w:rFonts w:ascii="Verdana" w:eastAsia="Times New Roman" w:hAnsi="Verdana" w:cs="Times New Roman"/>
          <w:sz w:val="20"/>
          <w:szCs w:val="20"/>
          <w:lang w:val="bg-BG" w:eastAsia="ru-RU"/>
        </w:rPr>
        <w:t>J'son</w:t>
      </w:r>
      <w:proofErr w:type="spellEnd"/>
      <w:r w:rsidRPr="00874693">
        <w:rPr>
          <w:rFonts w:ascii="Verdana" w:eastAsia="Times New Roman" w:hAnsi="Verdana" w:cs="Times New Roman"/>
          <w:sz w:val="20"/>
          <w:szCs w:val="20"/>
          <w:lang w:val="bg-BG" w:eastAsia="ru-RU"/>
        </w:rPr>
        <w:t xml:space="preserve"> &amp; </w:t>
      </w:r>
      <w:proofErr w:type="spellStart"/>
      <w:r w:rsidRPr="00874693">
        <w:rPr>
          <w:rFonts w:ascii="Verdana" w:eastAsia="Times New Roman" w:hAnsi="Verdana" w:cs="Times New Roman"/>
          <w:sz w:val="20"/>
          <w:szCs w:val="20"/>
          <w:lang w:val="bg-BG" w:eastAsia="ru-RU"/>
        </w:rPr>
        <w:t>Partners</w:t>
      </w:r>
      <w:proofErr w:type="spellEnd"/>
      <w:r w:rsidRPr="00874693">
        <w:rPr>
          <w:rFonts w:ascii="Verdana" w:eastAsia="Times New Roman" w:hAnsi="Verdana" w:cs="Times New Roman"/>
          <w:sz w:val="20"/>
          <w:szCs w:val="20"/>
          <w:lang w:val="bg-BG" w:eastAsia="ru-RU"/>
        </w:rPr>
        <w:t xml:space="preserve"> Consulting, обема на пазара от автоматизираните пощенски станции в Русия през 2014 г. възлиза на 2,8 милиарда рубли или 6,7% от целия руския пазар на експресни доставки. Според наличните данни,  38% от всички поръчки, които клиентите вземат сами</w:t>
      </w:r>
      <w:r>
        <w:rPr>
          <w:rFonts w:ascii="Verdana" w:eastAsia="Times New Roman" w:hAnsi="Verdana" w:cs="Times New Roman"/>
          <w:sz w:val="20"/>
          <w:szCs w:val="20"/>
          <w:lang w:val="bg-BG" w:eastAsia="ru-RU"/>
        </w:rPr>
        <w:t>,</w:t>
      </w:r>
      <w:r w:rsidRPr="00874693">
        <w:rPr>
          <w:rFonts w:ascii="Verdana" w:eastAsia="Times New Roman" w:hAnsi="Verdana" w:cs="Times New Roman"/>
          <w:sz w:val="20"/>
          <w:szCs w:val="20"/>
          <w:lang w:val="bg-BG" w:eastAsia="ru-RU"/>
        </w:rPr>
        <w:t xml:space="preserve"> са чрез автоматизираните пощенски станции.</w:t>
      </w:r>
    </w:p>
    <w:p w:rsidR="00F17F6E" w:rsidRPr="00874693" w:rsidRDefault="00F17F6E" w:rsidP="00F17F6E">
      <w:pPr>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Пионери в</w:t>
      </w:r>
      <w:r w:rsidRPr="00874693">
        <w:rPr>
          <w:rFonts w:ascii="Verdana" w:eastAsia="Times New Roman" w:hAnsi="Verdana" w:cs="Times New Roman"/>
          <w:sz w:val="20"/>
          <w:szCs w:val="20"/>
          <w:lang w:val="bg-BG" w:eastAsia="ru-RU"/>
        </w:rPr>
        <w:t xml:space="preserve"> този сегмент в Руската федерация е компания</w:t>
      </w:r>
      <w:r>
        <w:rPr>
          <w:rFonts w:ascii="Verdana" w:eastAsia="Times New Roman" w:hAnsi="Verdana" w:cs="Times New Roman"/>
          <w:sz w:val="20"/>
          <w:szCs w:val="20"/>
          <w:lang w:val="bg-BG" w:eastAsia="ru-RU"/>
        </w:rPr>
        <w:t>та</w:t>
      </w:r>
      <w:r w:rsidRPr="00874693">
        <w:rPr>
          <w:rFonts w:ascii="Verdana" w:eastAsia="Times New Roman" w:hAnsi="Verdana" w:cs="Times New Roman"/>
          <w:sz w:val="20"/>
          <w:szCs w:val="20"/>
          <w:lang w:val="bg-BG" w:eastAsia="ru-RU"/>
        </w:rPr>
        <w:t xml:space="preserve"> </w:t>
      </w:r>
      <w:proofErr w:type="spellStart"/>
      <w:r w:rsidRPr="00874693">
        <w:rPr>
          <w:rFonts w:ascii="Verdana" w:eastAsia="Times New Roman" w:hAnsi="Verdana" w:cs="Times New Roman"/>
          <w:sz w:val="20"/>
          <w:szCs w:val="20"/>
          <w:lang w:val="bg-BG" w:eastAsia="ru-RU"/>
        </w:rPr>
        <w:t>PickPoint</w:t>
      </w:r>
      <w:proofErr w:type="spellEnd"/>
      <w:r w:rsidRPr="00874693">
        <w:rPr>
          <w:rFonts w:ascii="Verdana" w:eastAsia="Times New Roman" w:hAnsi="Verdana" w:cs="Times New Roman"/>
          <w:sz w:val="20"/>
          <w:szCs w:val="20"/>
          <w:lang w:val="bg-BG" w:eastAsia="ru-RU"/>
        </w:rPr>
        <w:t xml:space="preserve">. Делът на компанията за 2014 г. се оценява на 80%. Също така, основни играчи са и QIWI </w:t>
      </w:r>
      <w:proofErr w:type="spellStart"/>
      <w:r w:rsidRPr="00874693">
        <w:rPr>
          <w:rFonts w:ascii="Verdana" w:eastAsia="Times New Roman" w:hAnsi="Verdana" w:cs="Times New Roman"/>
          <w:sz w:val="20"/>
          <w:szCs w:val="20"/>
          <w:lang w:val="bg-BG" w:eastAsia="ru-RU"/>
        </w:rPr>
        <w:t>Post</w:t>
      </w:r>
      <w:proofErr w:type="spellEnd"/>
      <w:r w:rsidRPr="00874693">
        <w:rPr>
          <w:rFonts w:ascii="Verdana" w:eastAsia="Times New Roman" w:hAnsi="Verdana" w:cs="Times New Roman"/>
          <w:sz w:val="20"/>
          <w:szCs w:val="20"/>
          <w:lang w:val="bg-BG" w:eastAsia="ru-RU"/>
        </w:rPr>
        <w:t xml:space="preserve"> и </w:t>
      </w:r>
      <w:proofErr w:type="spellStart"/>
      <w:r w:rsidRPr="00874693">
        <w:rPr>
          <w:rFonts w:ascii="Verdana" w:eastAsia="Times New Roman" w:hAnsi="Verdana" w:cs="Times New Roman"/>
          <w:sz w:val="20"/>
          <w:szCs w:val="20"/>
          <w:lang w:val="bg-BG" w:eastAsia="ru-RU"/>
        </w:rPr>
        <w:t>LogiBox</w:t>
      </w:r>
      <w:proofErr w:type="spellEnd"/>
      <w:r w:rsidRPr="00874693">
        <w:rPr>
          <w:rFonts w:ascii="Verdana" w:eastAsia="Times New Roman" w:hAnsi="Verdana" w:cs="Times New Roman"/>
          <w:sz w:val="20"/>
          <w:szCs w:val="20"/>
          <w:lang w:val="bg-BG" w:eastAsia="ru-RU"/>
        </w:rPr>
        <w:t>.</w:t>
      </w:r>
    </w:p>
    <w:p w:rsidR="00F17F6E" w:rsidRPr="00874693" w:rsidRDefault="00F17F6E" w:rsidP="00F17F6E">
      <w:pPr>
        <w:pStyle w:val="a3"/>
        <w:spacing w:line="276" w:lineRule="auto"/>
        <w:jc w:val="both"/>
        <w:rPr>
          <w:rFonts w:ascii="Verdana" w:hAnsi="Verdana"/>
          <w:b/>
          <w:sz w:val="20"/>
          <w:szCs w:val="20"/>
          <w:lang w:val="bg-BG" w:eastAsia="ru-RU"/>
        </w:rPr>
      </w:pPr>
      <w:r w:rsidRPr="00874693">
        <w:rPr>
          <w:rFonts w:ascii="Verdana" w:hAnsi="Verdana"/>
          <w:b/>
          <w:sz w:val="20"/>
          <w:szCs w:val="20"/>
          <w:lang w:val="bg-BG" w:eastAsia="ru-RU"/>
        </w:rPr>
        <w:t>Основни заключения</w:t>
      </w:r>
    </w:p>
    <w:p w:rsidR="00F17F6E" w:rsidRPr="00874693"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През последните четири години, пазара за експресни куриерски услуги в Руската федерация е показвал стабилен ръст, но в краткосрочна перспектива се очаква да намали темповете на растеж.</w:t>
      </w:r>
    </w:p>
    <w:p w:rsidR="00F17F6E" w:rsidRPr="00874693"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В руския пазар за експресни куриерски услуги се наблюдава ръст в сегмента на автоматизирани пощенски станции.</w:t>
      </w:r>
    </w:p>
    <w:p w:rsidR="00F17F6E" w:rsidRPr="00874693"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Основни двигатели на растежа на този пазар в Русия са развитието на онлайн търговията, географската експанзия и ръста на разпространение на интернета.</w:t>
      </w:r>
    </w:p>
    <w:p w:rsidR="00F17F6E" w:rsidRPr="00874693"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Основните причини, затрудняващи развитието на пазара, според експерти на отрасъла са недостатъчно развитата инфраструктура и настоящата икономическа ситуация.</w:t>
      </w:r>
    </w:p>
    <w:p w:rsidR="00F17F6E" w:rsidRPr="00874693"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През 2015 г. се прогнозира засилване на конкурентната среда поради очакваното намаляване на темповете на растеж на пазара.</w:t>
      </w:r>
    </w:p>
    <w:p w:rsidR="00F17F6E" w:rsidRDefault="00F17F6E" w:rsidP="00F17F6E">
      <w:pPr>
        <w:pStyle w:val="a3"/>
        <w:spacing w:line="276" w:lineRule="auto"/>
        <w:ind w:firstLine="708"/>
        <w:jc w:val="both"/>
        <w:rPr>
          <w:rFonts w:ascii="Verdana" w:hAnsi="Verdana"/>
          <w:sz w:val="20"/>
          <w:szCs w:val="20"/>
          <w:lang w:val="bg-BG" w:eastAsia="ru-RU"/>
        </w:rPr>
      </w:pPr>
      <w:r w:rsidRPr="00874693">
        <w:rPr>
          <w:rFonts w:ascii="Verdana" w:hAnsi="Verdana"/>
          <w:sz w:val="20"/>
          <w:szCs w:val="20"/>
          <w:lang w:val="bg-BG" w:eastAsia="ru-RU"/>
        </w:rPr>
        <w:t>• Според експерти на отрасъла в B2B-сектора, се наблюдава тенденция за намаляване на разходите за логистика. В сегмента на B2C се наблюдава забавяне на темповете на ръст на руските интернет магазини.</w:t>
      </w:r>
    </w:p>
    <w:p w:rsidR="00F17F6E" w:rsidRDefault="00F17F6E" w:rsidP="00F17F6E">
      <w:pPr>
        <w:pStyle w:val="a3"/>
        <w:spacing w:line="276" w:lineRule="auto"/>
        <w:ind w:firstLine="708"/>
        <w:jc w:val="both"/>
        <w:rPr>
          <w:rFonts w:ascii="Verdana" w:hAnsi="Verdana"/>
          <w:sz w:val="20"/>
          <w:szCs w:val="20"/>
          <w:lang w:val="bg-BG" w:eastAsia="ru-RU"/>
        </w:rPr>
      </w:pPr>
    </w:p>
    <w:p w:rsidR="00F17F6E" w:rsidRPr="00874693" w:rsidRDefault="00F17F6E" w:rsidP="00F17F6E">
      <w:pPr>
        <w:pStyle w:val="a3"/>
        <w:spacing w:line="276" w:lineRule="auto"/>
        <w:ind w:firstLine="708"/>
        <w:jc w:val="both"/>
        <w:rPr>
          <w:rFonts w:ascii="Verdana" w:hAnsi="Verdana"/>
          <w:sz w:val="20"/>
          <w:szCs w:val="20"/>
          <w:lang w:val="bg-BG" w:eastAsia="ru-RU"/>
        </w:rPr>
      </w:pPr>
    </w:p>
    <w:p w:rsidR="00D0484E" w:rsidRPr="00F17F6E" w:rsidRDefault="00F17F6E" w:rsidP="00F17F6E">
      <w:pPr>
        <w:jc w:val="right"/>
        <w:rPr>
          <w:rFonts w:ascii="Times New Roman" w:eastAsia="Times New Roman" w:hAnsi="Times New Roman" w:cs="Times New Roman"/>
          <w:sz w:val="24"/>
          <w:szCs w:val="24"/>
          <w:lang w:val="bg-BG" w:eastAsia="ru-RU"/>
        </w:rPr>
      </w:pPr>
      <w:hyperlink r:id="rId7" w:history="1">
        <w:r w:rsidRPr="00F82D32">
          <w:rPr>
            <w:rStyle w:val="a5"/>
            <w:rFonts w:ascii="Verdana" w:eastAsia="Times New Roman" w:hAnsi="Verdana" w:cs="Times New Roman"/>
            <w:sz w:val="18"/>
            <w:szCs w:val="18"/>
            <w:lang w:val="bg-BG" w:eastAsia="ru-RU"/>
          </w:rPr>
          <w:t>http://json.tv/</w:t>
        </w:r>
      </w:hyperlink>
      <w:r>
        <w:rPr>
          <w:rFonts w:ascii="Verdana" w:eastAsia="Times New Roman" w:hAnsi="Verdana" w:cs="Times New Roman"/>
          <w:sz w:val="18"/>
          <w:szCs w:val="18"/>
          <w:lang w:val="bg-BG" w:eastAsia="ru-RU"/>
        </w:rPr>
        <w:t xml:space="preserve"> </w:t>
      </w:r>
      <w:r>
        <w:rPr>
          <w:rFonts w:ascii="Verdana" w:eastAsia="Times New Roman" w:hAnsi="Verdana" w:cs="Times New Roman"/>
          <w:sz w:val="20"/>
          <w:szCs w:val="20"/>
          <w:lang w:val="bg-BG" w:eastAsia="ru-RU"/>
        </w:rPr>
        <w:t xml:space="preserve"> </w:t>
      </w:r>
      <w:bookmarkStart w:id="0" w:name="_GoBack"/>
      <w:bookmarkEnd w:id="0"/>
    </w:p>
    <w:sectPr w:rsidR="00D0484E" w:rsidRPr="00F17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CC"/>
    <w:rsid w:val="003377CC"/>
    <w:rsid w:val="00D0484E"/>
    <w:rsid w:val="00F1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7F6E"/>
    <w:pPr>
      <w:spacing w:after="0" w:line="240" w:lineRule="auto"/>
    </w:pPr>
  </w:style>
  <w:style w:type="character" w:styleId="a5">
    <w:name w:val="Hyperlink"/>
    <w:basedOn w:val="a0"/>
    <w:uiPriority w:val="99"/>
    <w:unhideWhenUsed/>
    <w:rsid w:val="00F17F6E"/>
    <w:rPr>
      <w:color w:val="0000FF" w:themeColor="hyperlink"/>
      <w:u w:val="single"/>
    </w:rPr>
  </w:style>
  <w:style w:type="character" w:customStyle="1" w:styleId="a4">
    <w:name w:val="Без интервала Знак"/>
    <w:basedOn w:val="a0"/>
    <w:link w:val="a3"/>
    <w:uiPriority w:val="1"/>
    <w:rsid w:val="00F17F6E"/>
  </w:style>
  <w:style w:type="paragraph" w:styleId="a6">
    <w:name w:val="Balloon Text"/>
    <w:basedOn w:val="a"/>
    <w:link w:val="a7"/>
    <w:uiPriority w:val="99"/>
    <w:semiHidden/>
    <w:unhideWhenUsed/>
    <w:rsid w:val="00F17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7F6E"/>
    <w:pPr>
      <w:spacing w:after="0" w:line="240" w:lineRule="auto"/>
    </w:pPr>
  </w:style>
  <w:style w:type="character" w:styleId="a5">
    <w:name w:val="Hyperlink"/>
    <w:basedOn w:val="a0"/>
    <w:uiPriority w:val="99"/>
    <w:unhideWhenUsed/>
    <w:rsid w:val="00F17F6E"/>
    <w:rPr>
      <w:color w:val="0000FF" w:themeColor="hyperlink"/>
      <w:u w:val="single"/>
    </w:rPr>
  </w:style>
  <w:style w:type="character" w:customStyle="1" w:styleId="a4">
    <w:name w:val="Без интервала Знак"/>
    <w:basedOn w:val="a0"/>
    <w:link w:val="a3"/>
    <w:uiPriority w:val="1"/>
    <w:rsid w:val="00F17F6E"/>
  </w:style>
  <w:style w:type="paragraph" w:styleId="a6">
    <w:name w:val="Balloon Text"/>
    <w:basedOn w:val="a"/>
    <w:link w:val="a7"/>
    <w:uiPriority w:val="99"/>
    <w:semiHidden/>
    <w:unhideWhenUsed/>
    <w:rsid w:val="00F17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on.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132367256909783E-2"/>
          <c:y val="3.2809245618491238E-2"/>
          <c:w val="0.93386763274309026"/>
          <c:h val="0.8593861654389976"/>
        </c:manualLayout>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30.6</c:v>
                </c:pt>
                <c:pt idx="1">
                  <c:v>38.9</c:v>
                </c:pt>
                <c:pt idx="2">
                  <c:v>47.1</c:v>
                </c:pt>
                <c:pt idx="3">
                  <c:v>52</c:v>
                </c:pt>
                <c:pt idx="4">
                  <c:v>55.6</c:v>
                </c:pt>
              </c:numCache>
            </c:numRef>
          </c:val>
        </c:ser>
        <c:dLbls>
          <c:showLegendKey val="0"/>
          <c:showVal val="0"/>
          <c:showCatName val="0"/>
          <c:showSerName val="0"/>
          <c:showPercent val="0"/>
          <c:showBubbleSize val="0"/>
        </c:dLbls>
        <c:gapWidth val="150"/>
        <c:shape val="cylinder"/>
        <c:axId val="105659776"/>
        <c:axId val="105661568"/>
        <c:axId val="0"/>
      </c:bar3DChart>
      <c:catAx>
        <c:axId val="105659776"/>
        <c:scaling>
          <c:orientation val="minMax"/>
        </c:scaling>
        <c:delete val="0"/>
        <c:axPos val="b"/>
        <c:numFmt formatCode="General" sourceLinked="1"/>
        <c:majorTickMark val="out"/>
        <c:minorTickMark val="none"/>
        <c:tickLblPos val="nextTo"/>
        <c:txPr>
          <a:bodyPr/>
          <a:lstStyle/>
          <a:p>
            <a:pPr>
              <a:defRPr b="1"/>
            </a:pPr>
            <a:endParaRPr lang="ru-RU"/>
          </a:p>
        </c:txPr>
        <c:crossAx val="105661568"/>
        <c:crosses val="autoZero"/>
        <c:auto val="1"/>
        <c:lblAlgn val="ctr"/>
        <c:lblOffset val="100"/>
        <c:noMultiLvlLbl val="0"/>
      </c:catAx>
      <c:valAx>
        <c:axId val="105661568"/>
        <c:scaling>
          <c:orientation val="minMax"/>
        </c:scaling>
        <c:delete val="0"/>
        <c:axPos val="l"/>
        <c:majorGridlines/>
        <c:numFmt formatCode="General" sourceLinked="1"/>
        <c:majorTickMark val="out"/>
        <c:minorTickMark val="none"/>
        <c:tickLblPos val="nextTo"/>
        <c:crossAx val="105659776"/>
        <c:crosses val="autoZero"/>
        <c:crossBetween val="between"/>
      </c:valAx>
      <c:spPr>
        <a:solidFill>
          <a:srgbClr val="1F497D">
            <a:lumMod val="20000"/>
            <a:lumOff val="80000"/>
          </a:srgbClr>
        </a:solidFill>
        <a:ln>
          <a:noFill/>
        </a:ln>
      </c:spPr>
    </c:plotArea>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2015-07-24T13:17:00Z</dcterms:created>
  <dcterms:modified xsi:type="dcterms:W3CDTF">2015-07-24T13:17:00Z</dcterms:modified>
</cp:coreProperties>
</file>