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A0" w:rsidRDefault="00D45EA0" w:rsidP="00D45EA0">
      <w:pPr>
        <w:pStyle w:val="NormalWeb"/>
        <w:spacing w:before="0" w:beforeAutospacing="0" w:after="0" w:afterAutospacing="0" w:line="276" w:lineRule="auto"/>
        <w:ind w:firstLine="708"/>
        <w:jc w:val="right"/>
        <w:rPr>
          <w:rFonts w:ascii="Verdana" w:hAnsi="Verdana"/>
          <w:sz w:val="20"/>
          <w:szCs w:val="20"/>
          <w:lang w:val="bg-BG"/>
        </w:rPr>
      </w:pPr>
    </w:p>
    <w:p w:rsidR="00D45EA0" w:rsidRPr="00F3233D" w:rsidRDefault="00D45EA0" w:rsidP="00D45EA0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 w:rsidRPr="00F3233D">
        <w:rPr>
          <w:b/>
          <w:lang w:val="bg-BG"/>
        </w:rPr>
        <w:t>О</w:t>
      </w:r>
      <w:r w:rsidRPr="00F3233D">
        <w:rPr>
          <w:rFonts w:ascii="Verdana" w:hAnsi="Verdana"/>
          <w:b/>
          <w:sz w:val="20"/>
          <w:szCs w:val="20"/>
          <w:lang w:val="bg-BG"/>
        </w:rPr>
        <w:t>ПРЕДЕЛИХА НАЙ-ПЕРСПЕКТИВНИТЕ ПАЗАРИ ЗА СТАРТ</w:t>
      </w:r>
      <w:bookmarkStart w:id="0" w:name="_GoBack"/>
      <w:bookmarkEnd w:id="0"/>
      <w:r w:rsidRPr="00F3233D">
        <w:rPr>
          <w:rFonts w:ascii="Verdana" w:hAnsi="Verdana"/>
          <w:b/>
          <w:sz w:val="20"/>
          <w:szCs w:val="20"/>
          <w:lang w:val="bg-BG"/>
        </w:rPr>
        <w:t>ИРАНЕ НА СОБСТВЕН БИЗНЕС ЗА ТЪРГОВИЯ НА ДРЕБНО В РУСИЯ</w:t>
      </w:r>
      <w:r w:rsidRPr="00F3233D">
        <w:rPr>
          <w:rFonts w:ascii="Verdana" w:eastAsia="Times New Roman" w:hAnsi="Verdana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3CC7136" wp14:editId="652019A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62860" cy="2134870"/>
            <wp:effectExtent l="0" t="0" r="8890" b="0"/>
            <wp:wrapSquare wrapText="bothSides"/>
            <wp:docPr id="8" name="Рисунок 8" descr="Резултат с изображение за картинки перспективы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картинки перспективы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600" b="99200" l="10000" r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EA0" w:rsidRDefault="00D45EA0" w:rsidP="00D45EA0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45EA0" w:rsidRPr="00CA18B5" w:rsidRDefault="00D45EA0" w:rsidP="00D45EA0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Най-перспективен пазар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за стартиране </w:t>
      </w:r>
      <w:r w:rsidRPr="00CA18B5">
        <w:rPr>
          <w:rFonts w:ascii="Verdana" w:hAnsi="Verdana"/>
          <w:sz w:val="20"/>
          <w:szCs w:val="20"/>
          <w:lang w:val="bg-BG"/>
        </w:rPr>
        <w:t xml:space="preserve">на бизнес </w:t>
      </w:r>
      <w:r>
        <w:rPr>
          <w:rFonts w:ascii="Verdana" w:hAnsi="Verdana"/>
          <w:sz w:val="20"/>
          <w:szCs w:val="20"/>
          <w:lang w:val="bg-BG"/>
        </w:rPr>
        <w:t>в Русия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за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търговия на дребно, </w:t>
      </w:r>
      <w:r w:rsidRPr="00CA18B5">
        <w:rPr>
          <w:rFonts w:ascii="Verdana" w:hAnsi="Verdana"/>
          <w:sz w:val="20"/>
          <w:szCs w:val="20"/>
          <w:lang w:val="bg-BG"/>
        </w:rPr>
        <w:t>се оказва пазарът за детски стоки. Въпреки</w:t>
      </w:r>
      <w:r>
        <w:rPr>
          <w:rFonts w:ascii="Verdana" w:hAnsi="Verdana"/>
          <w:sz w:val="20"/>
          <w:szCs w:val="20"/>
          <w:lang w:val="bg-BG"/>
        </w:rPr>
        <w:t>,</w:t>
      </w:r>
      <w:r w:rsidRPr="00CA18B5">
        <w:rPr>
          <w:rFonts w:ascii="Verdana" w:hAnsi="Verdana"/>
          <w:sz w:val="20"/>
          <w:szCs w:val="20"/>
          <w:lang w:val="bg-BG"/>
        </w:rPr>
        <w:t xml:space="preserve"> че през последните две години то</w:t>
      </w:r>
      <w:r>
        <w:rPr>
          <w:rFonts w:ascii="Verdana" w:hAnsi="Verdana"/>
          <w:sz w:val="20"/>
          <w:szCs w:val="20"/>
          <w:lang w:val="bg-BG"/>
        </w:rPr>
        <w:t>зи пазар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отбелязва</w:t>
      </w:r>
      <w:r w:rsidRPr="00CA18B5">
        <w:rPr>
          <w:rFonts w:ascii="Verdana" w:hAnsi="Verdana"/>
          <w:sz w:val="20"/>
          <w:szCs w:val="20"/>
          <w:lang w:val="bg-BG"/>
        </w:rPr>
        <w:t xml:space="preserve"> отрицателна динамика, спадът му е незначителен в сравнение с останалите пазари </w:t>
      </w:r>
      <w:r>
        <w:rPr>
          <w:rFonts w:ascii="Verdana" w:hAnsi="Verdana"/>
          <w:sz w:val="20"/>
          <w:szCs w:val="20"/>
          <w:lang w:val="bg-BG"/>
        </w:rPr>
        <w:t xml:space="preserve">за търговия </w:t>
      </w:r>
      <w:r w:rsidRPr="00CA18B5">
        <w:rPr>
          <w:rFonts w:ascii="Verdana" w:hAnsi="Verdana"/>
          <w:sz w:val="20"/>
          <w:szCs w:val="20"/>
          <w:lang w:val="bg-BG"/>
        </w:rPr>
        <w:t>на дребно. Същественият обем на дадения пазар е пряко свързан с благоприятната демографска ситуация, която се наблюдава в страната през последните години. От 2009 г. числеността на децата и подрастващите на възраст от 0 до 14 години постепенно расте. Същата положителна динамика се наблюда</w:t>
      </w:r>
      <w:r>
        <w:rPr>
          <w:rFonts w:ascii="Verdana" w:hAnsi="Verdana"/>
          <w:sz w:val="20"/>
          <w:szCs w:val="20"/>
          <w:lang w:val="bg-BG"/>
        </w:rPr>
        <w:t xml:space="preserve">ва и по отношение на общия брой </w:t>
      </w:r>
      <w:r w:rsidRPr="00CA18B5">
        <w:rPr>
          <w:rFonts w:ascii="Verdana" w:hAnsi="Verdana"/>
          <w:sz w:val="20"/>
          <w:szCs w:val="20"/>
          <w:lang w:val="bg-BG"/>
        </w:rPr>
        <w:t xml:space="preserve">новородени деца. По данни на </w:t>
      </w:r>
      <w:r>
        <w:rPr>
          <w:rFonts w:ascii="Verdana" w:hAnsi="Verdana"/>
          <w:sz w:val="20"/>
          <w:szCs w:val="20"/>
          <w:lang w:val="bg-BG"/>
        </w:rPr>
        <w:t>„</w:t>
      </w:r>
      <w:r w:rsidRPr="00CA18B5">
        <w:rPr>
          <w:rFonts w:ascii="Verdana" w:hAnsi="Verdana"/>
          <w:sz w:val="20"/>
          <w:szCs w:val="20"/>
          <w:lang w:val="bg-BG"/>
        </w:rPr>
        <w:t>Ро</w:t>
      </w:r>
      <w:r>
        <w:rPr>
          <w:rFonts w:ascii="Verdana" w:hAnsi="Verdana"/>
          <w:sz w:val="20"/>
          <w:szCs w:val="20"/>
          <w:lang w:val="bg-BG"/>
        </w:rPr>
        <w:t>с</w:t>
      </w:r>
      <w:r w:rsidRPr="00CA18B5">
        <w:rPr>
          <w:rFonts w:ascii="Verdana" w:hAnsi="Verdana"/>
          <w:sz w:val="20"/>
          <w:szCs w:val="20"/>
          <w:lang w:val="bg-BG"/>
        </w:rPr>
        <w:t>стат</w:t>
      </w:r>
      <w:r>
        <w:rPr>
          <w:rFonts w:ascii="Verdana" w:hAnsi="Verdana"/>
          <w:sz w:val="20"/>
          <w:szCs w:val="20"/>
          <w:lang w:val="bg-BG"/>
        </w:rPr>
        <w:t>“,</w:t>
      </w:r>
      <w:r w:rsidRPr="00CA18B5">
        <w:rPr>
          <w:rFonts w:ascii="Verdana" w:hAnsi="Verdana"/>
          <w:sz w:val="20"/>
          <w:szCs w:val="20"/>
          <w:lang w:val="bg-BG"/>
        </w:rPr>
        <w:t xml:space="preserve"> през 2015 г</w:t>
      </w:r>
      <w:r>
        <w:rPr>
          <w:rFonts w:ascii="Verdana" w:hAnsi="Verdana"/>
          <w:sz w:val="20"/>
          <w:szCs w:val="20"/>
          <w:lang w:val="bg-BG"/>
        </w:rPr>
        <w:t>.</w:t>
      </w:r>
      <w:r w:rsidRPr="00CA18B5">
        <w:rPr>
          <w:rFonts w:ascii="Verdana" w:hAnsi="Verdana"/>
          <w:sz w:val="20"/>
          <w:szCs w:val="20"/>
          <w:lang w:val="bg-BG"/>
        </w:rPr>
        <w:t xml:space="preserve"> положителен естествен прираст (броят на ражданията надвишава броя</w:t>
      </w:r>
      <w:r>
        <w:rPr>
          <w:rFonts w:ascii="Verdana" w:hAnsi="Verdana"/>
          <w:sz w:val="20"/>
          <w:szCs w:val="20"/>
          <w:lang w:val="bg-BG"/>
        </w:rPr>
        <w:t>т</w:t>
      </w:r>
      <w:r w:rsidRPr="00CA18B5">
        <w:rPr>
          <w:rFonts w:ascii="Verdana" w:hAnsi="Verdana"/>
          <w:sz w:val="20"/>
          <w:szCs w:val="20"/>
          <w:lang w:val="bg-BG"/>
        </w:rPr>
        <w:t xml:space="preserve"> на смъртните случаи) е отбелязан в 44 региона на Русия – това е най-високият резултат в периода 2000 – 2010 г. Понастоящем две трети от руските граждани купуват детски стоки. Освен това средната инвестиция за откриване на бизнес в сферата на детския ритейлър е относително ниска – около 2,2 млн. рубли. Всичко това прави закупуването на франчайз магазини за детски стоки привлекателно за потенциалните предприемачи.</w:t>
      </w:r>
    </w:p>
    <w:p w:rsidR="00D45EA0" w:rsidRPr="00CA18B5" w:rsidRDefault="00D45EA0" w:rsidP="00D45EA0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18B5">
        <w:rPr>
          <w:rFonts w:ascii="Verdana" w:hAnsi="Verdana"/>
          <w:sz w:val="20"/>
          <w:szCs w:val="20"/>
          <w:lang w:val="bg-BG"/>
        </w:rPr>
        <w:t>На второ място се нарежда пазарът за козметика и парфюмерия.  Въпреки спада от повече от 6 % през 2015 г., в 2016 г. той отбелязва ръст с 3 %, което е най-добър показател сред останалите разгле</w:t>
      </w:r>
      <w:r>
        <w:rPr>
          <w:rFonts w:ascii="Verdana" w:hAnsi="Verdana"/>
          <w:sz w:val="20"/>
          <w:szCs w:val="20"/>
          <w:lang w:val="bg-BG"/>
        </w:rPr>
        <w:t>ж</w:t>
      </w:r>
      <w:r w:rsidRPr="00CA18B5">
        <w:rPr>
          <w:rFonts w:ascii="Verdana" w:hAnsi="Verdana"/>
          <w:sz w:val="20"/>
          <w:szCs w:val="20"/>
          <w:lang w:val="bg-BG"/>
        </w:rPr>
        <w:t>дани пазари. Първоначалната инвестиция при откриване на малък или среден по размер парфюмерийно</w:t>
      </w:r>
      <w:r>
        <w:rPr>
          <w:rFonts w:ascii="Verdana" w:hAnsi="Verdana"/>
          <w:sz w:val="20"/>
          <w:szCs w:val="20"/>
          <w:lang w:val="bg-BG"/>
        </w:rPr>
        <w:t>-</w:t>
      </w:r>
      <w:r w:rsidRPr="00CA18B5">
        <w:rPr>
          <w:rFonts w:ascii="Verdana" w:hAnsi="Verdana"/>
          <w:sz w:val="20"/>
          <w:szCs w:val="20"/>
          <w:lang w:val="bg-BG"/>
        </w:rPr>
        <w:t>козметичен магазин</w:t>
      </w:r>
      <w:r>
        <w:rPr>
          <w:rFonts w:ascii="Verdana" w:hAnsi="Verdana"/>
          <w:sz w:val="20"/>
          <w:szCs w:val="20"/>
          <w:lang w:val="bg-BG"/>
        </w:rPr>
        <w:t>,</w:t>
      </w:r>
      <w:r w:rsidRPr="00CA18B5">
        <w:rPr>
          <w:rFonts w:ascii="Verdana" w:hAnsi="Verdana"/>
          <w:sz w:val="20"/>
          <w:szCs w:val="20"/>
          <w:lang w:val="bg-BG"/>
        </w:rPr>
        <w:t xml:space="preserve"> се оказва относително ниска – до 2 млн. рубли. Въпреки това</w:t>
      </w:r>
      <w:r>
        <w:rPr>
          <w:rFonts w:ascii="Verdana" w:hAnsi="Verdana"/>
          <w:sz w:val="20"/>
          <w:szCs w:val="20"/>
          <w:lang w:val="bg-BG"/>
        </w:rPr>
        <w:t>,</w:t>
      </w:r>
      <w:r w:rsidRPr="00CA18B5">
        <w:rPr>
          <w:rFonts w:ascii="Verdana" w:hAnsi="Verdana"/>
          <w:sz w:val="20"/>
          <w:szCs w:val="20"/>
          <w:lang w:val="bg-BG"/>
        </w:rPr>
        <w:t xml:space="preserve"> то</w:t>
      </w:r>
      <w:r>
        <w:rPr>
          <w:rFonts w:ascii="Verdana" w:hAnsi="Verdana"/>
          <w:sz w:val="20"/>
          <w:szCs w:val="20"/>
          <w:lang w:val="bg-BG"/>
        </w:rPr>
        <w:t>зи пазар се характеризира с мал</w:t>
      </w:r>
      <w:r w:rsidRPr="00CA18B5">
        <w:rPr>
          <w:rFonts w:ascii="Verdana" w:hAnsi="Verdana"/>
          <w:sz w:val="20"/>
          <w:szCs w:val="20"/>
          <w:lang w:val="bg-BG"/>
        </w:rPr>
        <w:t>к</w:t>
      </w:r>
      <w:r>
        <w:rPr>
          <w:rFonts w:ascii="Verdana" w:hAnsi="Verdana"/>
          <w:sz w:val="20"/>
          <w:szCs w:val="20"/>
          <w:lang w:val="bg-BG"/>
        </w:rPr>
        <w:t>о на</w:t>
      </w:r>
      <w:r w:rsidRPr="00CA18B5">
        <w:rPr>
          <w:rFonts w:ascii="Verdana" w:hAnsi="Verdana"/>
          <w:sz w:val="20"/>
          <w:szCs w:val="20"/>
          <w:lang w:val="bg-BG"/>
        </w:rPr>
        <w:t xml:space="preserve"> брой големи търговци и по-висок</w:t>
      </w:r>
      <w:r>
        <w:rPr>
          <w:rFonts w:ascii="Verdana" w:hAnsi="Verdana"/>
          <w:sz w:val="20"/>
          <w:szCs w:val="20"/>
          <w:lang w:val="bg-BG"/>
        </w:rPr>
        <w:t>а</w:t>
      </w:r>
      <w:r w:rsidRPr="00CA18B5">
        <w:rPr>
          <w:rFonts w:ascii="Verdana" w:hAnsi="Verdana"/>
          <w:sz w:val="20"/>
          <w:szCs w:val="20"/>
          <w:lang w:val="bg-BG"/>
        </w:rPr>
        <w:t xml:space="preserve"> концентрация: </w:t>
      </w:r>
      <w:r>
        <w:rPr>
          <w:rFonts w:ascii="Verdana" w:hAnsi="Verdana"/>
          <w:sz w:val="20"/>
          <w:szCs w:val="20"/>
          <w:lang w:val="bg-BG"/>
        </w:rPr>
        <w:t>два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на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всеки три</w:t>
      </w:r>
      <w:r w:rsidRPr="00CA18B5">
        <w:rPr>
          <w:rFonts w:ascii="Verdana" w:hAnsi="Verdana"/>
          <w:sz w:val="20"/>
          <w:szCs w:val="20"/>
          <w:lang w:val="bg-BG"/>
        </w:rPr>
        <w:t xml:space="preserve"> магазина с</w:t>
      </w:r>
      <w:r>
        <w:rPr>
          <w:rFonts w:ascii="Verdana" w:hAnsi="Verdana"/>
          <w:sz w:val="20"/>
          <w:szCs w:val="20"/>
          <w:lang w:val="bg-BG"/>
        </w:rPr>
        <w:t>е</w:t>
      </w:r>
      <w:r w:rsidRPr="00CA18B5">
        <w:rPr>
          <w:rFonts w:ascii="Verdana" w:hAnsi="Verdana"/>
          <w:sz w:val="20"/>
          <w:szCs w:val="20"/>
          <w:lang w:val="bg-BG"/>
        </w:rPr>
        <w:t xml:space="preserve"> управлява</w:t>
      </w:r>
      <w:r>
        <w:rPr>
          <w:rFonts w:ascii="Verdana" w:hAnsi="Verdana"/>
          <w:sz w:val="20"/>
          <w:szCs w:val="20"/>
          <w:lang w:val="bg-BG"/>
        </w:rPr>
        <w:t xml:space="preserve">т </w:t>
      </w:r>
      <w:r w:rsidRPr="00CA18B5">
        <w:rPr>
          <w:rFonts w:ascii="Verdana" w:hAnsi="Verdana"/>
          <w:sz w:val="20"/>
          <w:szCs w:val="20"/>
          <w:lang w:val="bg-BG"/>
        </w:rPr>
        <w:t xml:space="preserve">от 20-те най-големи </w:t>
      </w:r>
      <w:r>
        <w:rPr>
          <w:rFonts w:ascii="Verdana" w:hAnsi="Verdana"/>
          <w:sz w:val="20"/>
          <w:szCs w:val="20"/>
          <w:lang w:val="bg-BG"/>
        </w:rPr>
        <w:t>вериги. О</w:t>
      </w:r>
      <w:r w:rsidRPr="00CA18B5">
        <w:rPr>
          <w:rFonts w:ascii="Verdana" w:hAnsi="Verdana"/>
          <w:sz w:val="20"/>
          <w:szCs w:val="20"/>
          <w:lang w:val="bg-BG"/>
        </w:rPr>
        <w:t>т всички отрасли разгле</w:t>
      </w:r>
      <w:r>
        <w:rPr>
          <w:rFonts w:ascii="Verdana" w:hAnsi="Verdana"/>
          <w:sz w:val="20"/>
          <w:szCs w:val="20"/>
          <w:lang w:val="bg-BG"/>
        </w:rPr>
        <w:t>ж</w:t>
      </w:r>
      <w:r w:rsidRPr="00CA18B5">
        <w:rPr>
          <w:rFonts w:ascii="Verdana" w:hAnsi="Verdana"/>
          <w:sz w:val="20"/>
          <w:szCs w:val="20"/>
          <w:lang w:val="bg-BG"/>
        </w:rPr>
        <w:t xml:space="preserve">дани в дадения рейтинг, в козметичния </w:t>
      </w:r>
      <w:r>
        <w:rPr>
          <w:rFonts w:ascii="Verdana" w:hAnsi="Verdana"/>
          <w:sz w:val="20"/>
          <w:szCs w:val="20"/>
          <w:lang w:val="bg-BG"/>
        </w:rPr>
        <w:t>сектор е</w:t>
      </w:r>
      <w:r w:rsidRPr="00CA18B5">
        <w:rPr>
          <w:rFonts w:ascii="Verdana" w:hAnsi="Verdana"/>
          <w:sz w:val="20"/>
          <w:szCs w:val="20"/>
          <w:lang w:val="bg-BG"/>
        </w:rPr>
        <w:t xml:space="preserve"> най-малко разпространен франчайзинга – само 8,5% от търговските обекти са открити </w:t>
      </w:r>
      <w:r>
        <w:rPr>
          <w:rFonts w:ascii="Verdana" w:hAnsi="Verdana"/>
          <w:sz w:val="20"/>
          <w:szCs w:val="20"/>
          <w:lang w:val="bg-BG"/>
        </w:rPr>
        <w:t>на</w:t>
      </w:r>
      <w:r w:rsidRPr="00CA18B5">
        <w:rPr>
          <w:rFonts w:ascii="Verdana" w:hAnsi="Verdana"/>
          <w:sz w:val="20"/>
          <w:szCs w:val="20"/>
          <w:lang w:val="bg-BG"/>
        </w:rPr>
        <w:t xml:space="preserve"> франчайз. С други думи, на руския козметичен</w:t>
      </w:r>
      <w:r>
        <w:rPr>
          <w:rFonts w:ascii="Verdana" w:hAnsi="Verdana"/>
          <w:sz w:val="20"/>
          <w:szCs w:val="20"/>
          <w:lang w:val="bg-BG"/>
        </w:rPr>
        <w:t xml:space="preserve"> и парфюмериен</w:t>
      </w:r>
      <w:r w:rsidRPr="00CA18B5">
        <w:rPr>
          <w:rFonts w:ascii="Verdana" w:hAnsi="Verdana"/>
          <w:sz w:val="20"/>
          <w:szCs w:val="20"/>
          <w:lang w:val="bg-BG"/>
        </w:rPr>
        <w:t xml:space="preserve"> пазар </w:t>
      </w:r>
      <w:r>
        <w:rPr>
          <w:rFonts w:ascii="Verdana" w:hAnsi="Verdana"/>
          <w:sz w:val="20"/>
          <w:szCs w:val="20"/>
          <w:lang w:val="bg-BG"/>
        </w:rPr>
        <w:t>работят</w:t>
      </w:r>
      <w:r w:rsidRPr="00CA18B5">
        <w:rPr>
          <w:rFonts w:ascii="Verdana" w:hAnsi="Verdana"/>
          <w:sz w:val="20"/>
          <w:szCs w:val="20"/>
          <w:lang w:val="bg-BG"/>
        </w:rPr>
        <w:t xml:space="preserve"> малко търговци, при това съществената част от магазините принадлежат на големи </w:t>
      </w:r>
      <w:r>
        <w:rPr>
          <w:rFonts w:ascii="Verdana" w:hAnsi="Verdana"/>
          <w:sz w:val="20"/>
          <w:szCs w:val="20"/>
          <w:lang w:val="bg-BG"/>
        </w:rPr>
        <w:t>ритейлъри</w:t>
      </w:r>
      <w:r w:rsidRPr="00CA18B5">
        <w:rPr>
          <w:rFonts w:ascii="Verdana" w:hAnsi="Verdana"/>
          <w:sz w:val="20"/>
          <w:szCs w:val="20"/>
          <w:lang w:val="bg-BG"/>
        </w:rPr>
        <w:t xml:space="preserve">, които предпочитат да развиват собствена мрежа самостоятелно. Затова, въпреки привлекателността на този пазар за развиване на бизнес, влизането в него може да бъде достатъчно сложно. </w:t>
      </w:r>
    </w:p>
    <w:p w:rsidR="00D45EA0" w:rsidRDefault="00D45EA0" w:rsidP="00D45EA0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18B5">
        <w:rPr>
          <w:rFonts w:ascii="Verdana" w:hAnsi="Verdana"/>
          <w:sz w:val="20"/>
          <w:szCs w:val="20"/>
          <w:lang w:val="bg-BG"/>
        </w:rPr>
        <w:t>Към перспективните (от гледна точка на откриване на бизнес) пазари можем да отнесем и общественото хранене. Въпреки отрицателната динамика през последните години обе</w:t>
      </w:r>
      <w:r>
        <w:rPr>
          <w:rFonts w:ascii="Verdana" w:hAnsi="Verdana"/>
          <w:sz w:val="20"/>
          <w:szCs w:val="20"/>
          <w:lang w:val="bg-BG"/>
        </w:rPr>
        <w:t>мът на пазара остава значителен -</w:t>
      </w:r>
      <w:r w:rsidRPr="00CA18B5">
        <w:rPr>
          <w:rFonts w:ascii="Verdana" w:hAnsi="Verdana"/>
          <w:sz w:val="20"/>
          <w:szCs w:val="20"/>
          <w:lang w:val="bg-BG"/>
        </w:rPr>
        <w:t xml:space="preserve"> около 95% от населението използва услугите на заведения за обществено хранене. На руския пазар в момента работят 500 мрежи за об</w:t>
      </w:r>
      <w:r>
        <w:rPr>
          <w:rFonts w:ascii="Verdana" w:hAnsi="Verdana"/>
          <w:sz w:val="20"/>
          <w:szCs w:val="20"/>
          <w:lang w:val="bg-BG"/>
        </w:rPr>
        <w:t>ществено хранене, при което 57,6</w:t>
      </w:r>
      <w:r w:rsidRPr="00CA18B5">
        <w:rPr>
          <w:rFonts w:ascii="Verdana" w:hAnsi="Verdana"/>
          <w:sz w:val="20"/>
          <w:szCs w:val="20"/>
          <w:lang w:val="bg-BG"/>
        </w:rPr>
        <w:t>% от ресторантите принадлежат на 20-те най-големи търговци. Забележително е, че средната инвестиция за откриване на ресторант</w:t>
      </w:r>
      <w:r>
        <w:rPr>
          <w:rFonts w:ascii="Verdana" w:hAnsi="Verdana"/>
          <w:sz w:val="20"/>
          <w:szCs w:val="20"/>
          <w:lang w:val="bg-BG"/>
        </w:rPr>
        <w:t xml:space="preserve"> е</w:t>
      </w:r>
      <w:r w:rsidRPr="00CA18B5">
        <w:rPr>
          <w:rFonts w:ascii="Verdana" w:hAnsi="Verdana"/>
          <w:sz w:val="20"/>
          <w:szCs w:val="20"/>
          <w:lang w:val="bg-BG"/>
        </w:rPr>
        <w:t xml:space="preserve"> значителна сума – около 4,7 млн. рубли, но въпреки това повече от половината обекти за обществено хранене работят под франчайзинг. Това се дължи на факта, че разходите за откриване на </w:t>
      </w:r>
      <w:r>
        <w:rPr>
          <w:rFonts w:ascii="Verdana" w:hAnsi="Verdana"/>
          <w:sz w:val="20"/>
          <w:szCs w:val="20"/>
          <w:lang w:val="bg-BG"/>
        </w:rPr>
        <w:t xml:space="preserve">такъв </w:t>
      </w:r>
      <w:r w:rsidRPr="00CA18B5">
        <w:rPr>
          <w:rFonts w:ascii="Verdana" w:hAnsi="Verdana"/>
          <w:sz w:val="20"/>
          <w:szCs w:val="20"/>
          <w:lang w:val="bg-BG"/>
        </w:rPr>
        <w:t>бизнес варират значително в зависимост от</w:t>
      </w:r>
      <w:r>
        <w:rPr>
          <w:rFonts w:ascii="Verdana" w:hAnsi="Verdana"/>
          <w:sz w:val="20"/>
          <w:szCs w:val="20"/>
          <w:lang w:val="bg-BG"/>
        </w:rPr>
        <w:t xml:space="preserve"> формата на точката -</w:t>
      </w:r>
      <w:r w:rsidRPr="00CA18B5">
        <w:rPr>
          <w:rFonts w:ascii="Verdana" w:hAnsi="Verdana"/>
          <w:sz w:val="20"/>
          <w:szCs w:val="20"/>
          <w:lang w:val="bg-BG"/>
        </w:rPr>
        <w:t xml:space="preserve"> откриване</w:t>
      </w:r>
      <w:r>
        <w:rPr>
          <w:rFonts w:ascii="Verdana" w:hAnsi="Verdana"/>
          <w:sz w:val="20"/>
          <w:szCs w:val="20"/>
          <w:lang w:val="bg-BG"/>
        </w:rPr>
        <w:t>то</w:t>
      </w:r>
      <w:r w:rsidRPr="00CA18B5">
        <w:rPr>
          <w:rFonts w:ascii="Verdana" w:hAnsi="Verdana"/>
          <w:sz w:val="20"/>
          <w:szCs w:val="20"/>
          <w:lang w:val="bg-BG"/>
        </w:rPr>
        <w:t xml:space="preserve"> на фаст-фуд или </w:t>
      </w:r>
      <w:r w:rsidRPr="003236BF">
        <w:rPr>
          <w:rFonts w:ascii="Verdana" w:hAnsi="Verdana"/>
          <w:sz w:val="20"/>
          <w:szCs w:val="20"/>
          <w:lang w:val="bg-BG"/>
        </w:rPr>
        <w:t>стрийт фуд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обекти,</w:t>
      </w:r>
      <w:r w:rsidRPr="00CA18B5">
        <w:rPr>
          <w:rFonts w:ascii="Verdana" w:hAnsi="Verdana"/>
          <w:sz w:val="20"/>
          <w:szCs w:val="20"/>
          <w:lang w:val="bg-BG"/>
        </w:rPr>
        <w:t xml:space="preserve"> струва</w:t>
      </w:r>
      <w:r>
        <w:rPr>
          <w:rFonts w:ascii="Verdana" w:hAnsi="Verdana"/>
          <w:sz w:val="20"/>
          <w:szCs w:val="20"/>
          <w:lang w:val="bg-BG"/>
        </w:rPr>
        <w:t>т</w:t>
      </w:r>
      <w:r w:rsidRPr="00CA18B5">
        <w:rPr>
          <w:rFonts w:ascii="Verdana" w:hAnsi="Verdana"/>
          <w:sz w:val="20"/>
          <w:szCs w:val="20"/>
          <w:lang w:val="bg-BG"/>
        </w:rPr>
        <w:t xml:space="preserve"> няколко пъти по-евтино, отколкото откриването на ресторант casual-dining.</w:t>
      </w:r>
    </w:p>
    <w:p w:rsidR="00D45EA0" w:rsidRDefault="00D45EA0" w:rsidP="00D45EA0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45EA0" w:rsidRPr="00D86F6E" w:rsidRDefault="00D45EA0" w:rsidP="00D45EA0">
      <w:pPr>
        <w:pStyle w:val="NoSpacing"/>
        <w:spacing w:line="276" w:lineRule="auto"/>
        <w:jc w:val="center"/>
        <w:rPr>
          <w:rFonts w:ascii="Verdana" w:hAnsi="Verdana"/>
          <w:i/>
          <w:sz w:val="20"/>
          <w:szCs w:val="20"/>
          <w:lang w:val="bg-BG"/>
        </w:rPr>
      </w:pPr>
      <w:r w:rsidRPr="00D86F6E">
        <w:rPr>
          <w:rFonts w:ascii="Verdana" w:hAnsi="Verdana"/>
          <w:i/>
          <w:sz w:val="20"/>
          <w:szCs w:val="20"/>
          <w:lang w:val="bg-BG"/>
        </w:rPr>
        <w:t>Рейтинг на основните пазари на дребно от гледна точка на бизнес перспективи, по скала от 0 до 100 (0 – неперспективни, 100 - много перспективни)</w:t>
      </w:r>
    </w:p>
    <w:p w:rsidR="00D45EA0" w:rsidRDefault="00D45EA0" w:rsidP="00D45EA0">
      <w:pPr>
        <w:pStyle w:val="NoSpacing"/>
        <w:spacing w:line="276" w:lineRule="auto"/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1B85113C" wp14:editId="5AF2DE0C">
            <wp:extent cx="4362450" cy="2514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5EA0" w:rsidRDefault="00D45EA0" w:rsidP="00D45EA0">
      <w:pPr>
        <w:pStyle w:val="NoSpacing"/>
        <w:spacing w:line="276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D45EA0" w:rsidRPr="008021AC" w:rsidRDefault="00D45EA0" w:rsidP="00D45EA0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18B5">
        <w:rPr>
          <w:rFonts w:ascii="Verdana" w:hAnsi="Verdana"/>
          <w:sz w:val="20"/>
          <w:szCs w:val="20"/>
          <w:lang w:val="bg-BG"/>
        </w:rPr>
        <w:t xml:space="preserve">В средата на рейтинга се нарежда пазарът на стоки за ремонт и строителство (DIY). Въпреки минималния спад през 2015 г., </w:t>
      </w:r>
      <w:r>
        <w:rPr>
          <w:rFonts w:ascii="Verdana" w:hAnsi="Verdana"/>
          <w:sz w:val="20"/>
          <w:szCs w:val="20"/>
          <w:lang w:val="bg-BG"/>
        </w:rPr>
        <w:t>през</w:t>
      </w:r>
      <w:r w:rsidRPr="00CA18B5">
        <w:rPr>
          <w:rFonts w:ascii="Verdana" w:hAnsi="Verdana"/>
          <w:sz w:val="20"/>
          <w:szCs w:val="20"/>
          <w:lang w:val="bg-BG"/>
        </w:rPr>
        <w:t xml:space="preserve"> 2016 г. този пазар отбеляз</w:t>
      </w:r>
      <w:r>
        <w:rPr>
          <w:rFonts w:ascii="Verdana" w:hAnsi="Verdana"/>
          <w:sz w:val="20"/>
          <w:szCs w:val="20"/>
          <w:lang w:val="bg-BG"/>
        </w:rPr>
        <w:t>в</w:t>
      </w:r>
      <w:r w:rsidRPr="00CA18B5">
        <w:rPr>
          <w:rFonts w:ascii="Verdana" w:hAnsi="Verdana"/>
          <w:sz w:val="20"/>
          <w:szCs w:val="20"/>
          <w:lang w:val="bg-BG"/>
        </w:rPr>
        <w:t xml:space="preserve">а значителна отрицателна динамика. </w:t>
      </w:r>
      <w:r>
        <w:rPr>
          <w:rFonts w:ascii="Verdana" w:hAnsi="Verdana"/>
          <w:sz w:val="20"/>
          <w:szCs w:val="20"/>
          <w:lang w:val="bg-BG"/>
        </w:rPr>
        <w:t xml:space="preserve">Проблемът е в това, че </w:t>
      </w:r>
      <w:r w:rsidRPr="00CA18B5">
        <w:rPr>
          <w:rFonts w:ascii="Verdana" w:hAnsi="Verdana"/>
          <w:sz w:val="20"/>
          <w:szCs w:val="20"/>
          <w:lang w:val="bg-BG"/>
        </w:rPr>
        <w:t xml:space="preserve">състоянието на пазара за </w:t>
      </w:r>
      <w:r>
        <w:rPr>
          <w:rFonts w:ascii="Verdana" w:hAnsi="Verdana"/>
          <w:sz w:val="20"/>
          <w:szCs w:val="20"/>
          <w:lang w:val="bg-BG"/>
        </w:rPr>
        <w:t>стоки за ремонт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силно</w:t>
      </w:r>
      <w:r w:rsidRPr="00CA18B5">
        <w:rPr>
          <w:rFonts w:ascii="Verdana" w:hAnsi="Verdana"/>
          <w:sz w:val="20"/>
          <w:szCs w:val="20"/>
          <w:lang w:val="bg-BG"/>
        </w:rPr>
        <w:t xml:space="preserve"> зависи от ситуацията на ипотечния пазар, който една година по-рано показа рязък спад с 30%</w:t>
      </w:r>
      <w:r>
        <w:rPr>
          <w:rFonts w:ascii="Verdana" w:hAnsi="Verdana"/>
          <w:sz w:val="20"/>
          <w:szCs w:val="20"/>
          <w:lang w:val="bg-BG"/>
        </w:rPr>
        <w:t>. В резултат на това, руснаците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купуват</w:t>
      </w:r>
      <w:r w:rsidRPr="00CA18B5">
        <w:rPr>
          <w:rFonts w:ascii="Verdana" w:hAnsi="Verdana"/>
          <w:sz w:val="20"/>
          <w:szCs w:val="20"/>
          <w:lang w:val="bg-BG"/>
        </w:rPr>
        <w:t xml:space="preserve"> по-малко жил</w:t>
      </w:r>
      <w:r>
        <w:rPr>
          <w:rFonts w:ascii="Verdana" w:hAnsi="Verdana"/>
          <w:sz w:val="20"/>
          <w:szCs w:val="20"/>
          <w:lang w:val="bg-BG"/>
        </w:rPr>
        <w:t>ища и стоките за ремонт се оказват</w:t>
      </w:r>
      <w:r w:rsidRPr="00CA18B5">
        <w:rPr>
          <w:rFonts w:ascii="Verdana" w:hAnsi="Verdana"/>
          <w:sz w:val="20"/>
          <w:szCs w:val="20"/>
          <w:lang w:val="bg-BG"/>
        </w:rPr>
        <w:t xml:space="preserve"> по-малко търсени. Забележително е, че макар пазарът на стоки за ремонт и строителство да се отличава с минимална концентрация, наличието на големи международни DIY- хипермаркети затруднява работата на малките търговци, които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8B5">
        <w:rPr>
          <w:rFonts w:ascii="Verdana" w:hAnsi="Verdana"/>
          <w:sz w:val="20"/>
          <w:szCs w:val="20"/>
          <w:lang w:val="bg-BG"/>
        </w:rPr>
        <w:t xml:space="preserve">са неспособни да се справят с подобна конкуренция. </w:t>
      </w:r>
      <w:r w:rsidRPr="008021AC">
        <w:rPr>
          <w:rFonts w:ascii="Verdana" w:hAnsi="Verdana"/>
          <w:sz w:val="20"/>
          <w:szCs w:val="20"/>
          <w:lang w:val="bg-BG"/>
        </w:rPr>
        <w:t>Благоприятен фактор за потенциалните предприемачи е, че на този пазар се работи с много търговци на дребно (680 мрежи), а инвестициите за откриване на бизнес са относително низки - средно 2,6 млн рубли.</w:t>
      </w:r>
    </w:p>
    <w:p w:rsidR="00D45EA0" w:rsidRPr="00CA18B5" w:rsidRDefault="00D45EA0" w:rsidP="00D45EA0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18B5">
        <w:rPr>
          <w:rFonts w:ascii="Verdana" w:hAnsi="Verdana"/>
          <w:sz w:val="20"/>
          <w:szCs w:val="20"/>
          <w:lang w:val="bg-BG"/>
        </w:rPr>
        <w:t>По-малко перспективен се оказва пазарът за дрехи. Въпреки спада през 2015 г., в 2016 г. се забеляза ръ</w:t>
      </w:r>
      <w:r>
        <w:rPr>
          <w:rFonts w:ascii="Verdana" w:hAnsi="Verdana"/>
          <w:sz w:val="20"/>
          <w:szCs w:val="20"/>
          <w:lang w:val="bg-BG"/>
        </w:rPr>
        <w:t>ст. Обемът на пазара в парично изражение</w:t>
      </w:r>
      <w:r w:rsidRPr="00CA18B5">
        <w:rPr>
          <w:rFonts w:ascii="Verdana" w:hAnsi="Verdana"/>
          <w:sz w:val="20"/>
          <w:szCs w:val="20"/>
          <w:lang w:val="bg-BG"/>
        </w:rPr>
        <w:t xml:space="preserve"> е значителен и е повече от 2 трлн</w:t>
      </w:r>
      <w:r>
        <w:rPr>
          <w:rFonts w:ascii="Verdana" w:hAnsi="Verdana"/>
          <w:sz w:val="20"/>
          <w:szCs w:val="20"/>
          <w:lang w:val="bg-BG"/>
        </w:rPr>
        <w:t>.</w:t>
      </w:r>
      <w:r w:rsidRPr="00CA18B5">
        <w:rPr>
          <w:rFonts w:ascii="Verdana" w:hAnsi="Verdana"/>
          <w:sz w:val="20"/>
          <w:szCs w:val="20"/>
          <w:lang w:val="bg-BG"/>
        </w:rPr>
        <w:t xml:space="preserve"> рубли. Освен това, практически цялото население на страната купува дрехи. Факторът, който оказва негативен ефект върху перспективите в развитието на бизнес</w:t>
      </w:r>
      <w:r>
        <w:rPr>
          <w:rFonts w:ascii="Verdana" w:hAnsi="Verdana"/>
          <w:sz w:val="20"/>
          <w:szCs w:val="20"/>
          <w:lang w:val="bg-BG"/>
        </w:rPr>
        <w:t>а</w:t>
      </w:r>
      <w:r w:rsidRPr="00CA18B5">
        <w:rPr>
          <w:rFonts w:ascii="Verdana" w:hAnsi="Verdana"/>
          <w:sz w:val="20"/>
          <w:szCs w:val="20"/>
          <w:lang w:val="bg-BG"/>
        </w:rPr>
        <w:t xml:space="preserve"> в тази сфера е високата цена за откриване на магазин. В резултат на това под франчайзинг работят само около една четвърт от всички магазини. </w:t>
      </w:r>
    </w:p>
    <w:p w:rsidR="00D45EA0" w:rsidRPr="00CA18B5" w:rsidRDefault="00D45EA0" w:rsidP="00D45EA0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18B5">
        <w:rPr>
          <w:rFonts w:ascii="Verdana" w:hAnsi="Verdana"/>
          <w:sz w:val="20"/>
          <w:szCs w:val="20"/>
          <w:lang w:val="bg-BG"/>
        </w:rPr>
        <w:t>Пазарът за мебели също не е много привлекателен: обемът му в паричн</w:t>
      </w:r>
      <w:r>
        <w:rPr>
          <w:rFonts w:ascii="Verdana" w:hAnsi="Verdana"/>
          <w:sz w:val="20"/>
          <w:szCs w:val="20"/>
          <w:lang w:val="bg-BG"/>
        </w:rPr>
        <w:t>о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изражение</w:t>
      </w:r>
      <w:r w:rsidRPr="00CA18B5">
        <w:rPr>
          <w:rFonts w:ascii="Verdana" w:hAnsi="Verdana"/>
          <w:sz w:val="20"/>
          <w:szCs w:val="20"/>
          <w:lang w:val="bg-BG"/>
        </w:rPr>
        <w:t xml:space="preserve"> е малък, освен това</w:t>
      </w:r>
      <w:r>
        <w:rPr>
          <w:rFonts w:ascii="Verdana" w:hAnsi="Verdana"/>
          <w:sz w:val="20"/>
          <w:szCs w:val="20"/>
          <w:lang w:val="bg-BG"/>
        </w:rPr>
        <w:t>,</w:t>
      </w:r>
      <w:r w:rsidRPr="00CA18B5">
        <w:rPr>
          <w:rFonts w:ascii="Verdana" w:hAnsi="Verdana"/>
          <w:sz w:val="20"/>
          <w:szCs w:val="20"/>
          <w:lang w:val="bg-BG"/>
        </w:rPr>
        <w:t xml:space="preserve"> втора година подред той отбелязва отрицателна динамика</w:t>
      </w:r>
      <w:r>
        <w:rPr>
          <w:rFonts w:ascii="Verdana" w:hAnsi="Verdana"/>
          <w:sz w:val="20"/>
          <w:szCs w:val="20"/>
          <w:lang w:val="bg-BG"/>
        </w:rPr>
        <w:t>.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В</w:t>
      </w:r>
      <w:r w:rsidRPr="00CA18B5">
        <w:rPr>
          <w:rFonts w:ascii="Verdana" w:hAnsi="Verdana"/>
          <w:sz w:val="20"/>
          <w:szCs w:val="20"/>
          <w:lang w:val="bg-BG"/>
        </w:rPr>
        <w:t>ъв връзка с тежката икономическа ситуация</w:t>
      </w:r>
      <w:r>
        <w:rPr>
          <w:rFonts w:ascii="Verdana" w:hAnsi="Verdana"/>
          <w:sz w:val="20"/>
          <w:szCs w:val="20"/>
          <w:lang w:val="bg-BG"/>
        </w:rPr>
        <w:t>,</w:t>
      </w:r>
      <w:r w:rsidRPr="00CA18B5">
        <w:rPr>
          <w:rFonts w:ascii="Verdana" w:hAnsi="Verdana"/>
          <w:sz w:val="20"/>
          <w:szCs w:val="20"/>
          <w:lang w:val="bg-BG"/>
        </w:rPr>
        <w:t xml:space="preserve"> хората вече не купуват толкова често мебели или съвсем се отказват от покупката на такива, като избират само крайно необходими стоки. Една относително малка първоначална инвестиция - средно 1,5 млн рубли, може да направи този сектор </w:t>
      </w:r>
      <w:r>
        <w:rPr>
          <w:rFonts w:ascii="Verdana" w:hAnsi="Verdana"/>
          <w:sz w:val="20"/>
          <w:szCs w:val="20"/>
          <w:lang w:val="bg-BG"/>
        </w:rPr>
        <w:t xml:space="preserve">привлекателен </w:t>
      </w:r>
      <w:r w:rsidRPr="00CA18B5">
        <w:rPr>
          <w:rFonts w:ascii="Verdana" w:hAnsi="Verdana"/>
          <w:sz w:val="20"/>
          <w:szCs w:val="20"/>
          <w:lang w:val="bg-BG"/>
        </w:rPr>
        <w:t xml:space="preserve">за предприемачите. </w:t>
      </w:r>
    </w:p>
    <w:p w:rsidR="00D45EA0" w:rsidRDefault="00D45EA0" w:rsidP="00D45EA0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18B5">
        <w:rPr>
          <w:rFonts w:ascii="Verdana" w:hAnsi="Verdana"/>
          <w:sz w:val="20"/>
          <w:szCs w:val="20"/>
          <w:lang w:val="bg-BG"/>
        </w:rPr>
        <w:t xml:space="preserve">Не особено привлекателен за предприемачите е пазарът за </w:t>
      </w:r>
      <w:r>
        <w:rPr>
          <w:rFonts w:ascii="Verdana" w:hAnsi="Verdana"/>
          <w:sz w:val="20"/>
          <w:szCs w:val="20"/>
          <w:lang w:val="bg-BG"/>
        </w:rPr>
        <w:t xml:space="preserve">всекидневни </w:t>
      </w:r>
      <w:r w:rsidRPr="004C4D70">
        <w:rPr>
          <w:rFonts w:ascii="Verdana" w:hAnsi="Verdana"/>
          <w:sz w:val="20"/>
          <w:szCs w:val="20"/>
          <w:lang w:val="bg-BG"/>
        </w:rPr>
        <w:t>потребителски</w:t>
      </w:r>
      <w:r>
        <w:rPr>
          <w:rFonts w:ascii="Verdana" w:hAnsi="Verdana"/>
          <w:sz w:val="20"/>
          <w:szCs w:val="20"/>
          <w:lang w:val="bg-BG"/>
        </w:rPr>
        <w:t xml:space="preserve"> стоки и </w:t>
      </w:r>
      <w:r w:rsidRPr="00CA18B5">
        <w:rPr>
          <w:rFonts w:ascii="Verdana" w:hAnsi="Verdana"/>
          <w:sz w:val="20"/>
          <w:szCs w:val="20"/>
          <w:lang w:val="bg-BG"/>
        </w:rPr>
        <w:t>хранителни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8B5">
        <w:rPr>
          <w:rFonts w:ascii="Verdana" w:hAnsi="Verdana"/>
          <w:sz w:val="20"/>
          <w:szCs w:val="20"/>
          <w:lang w:val="bg-BG"/>
        </w:rPr>
        <w:t xml:space="preserve">стоки (FMCG). На пръв поглед той изглежда перспективен: голямо количество търговци (на този момент на руския пазар работят повече от 1700 </w:t>
      </w:r>
      <w:r>
        <w:rPr>
          <w:rFonts w:ascii="Verdana" w:hAnsi="Verdana"/>
          <w:sz w:val="20"/>
          <w:szCs w:val="20"/>
          <w:lang w:val="bg-BG"/>
        </w:rPr>
        <w:t>вериги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за</w:t>
      </w:r>
      <w:r w:rsidRPr="00CA18B5">
        <w:rPr>
          <w:rFonts w:ascii="Verdana" w:hAnsi="Verdana"/>
          <w:sz w:val="20"/>
          <w:szCs w:val="20"/>
          <w:lang w:val="bg-BG"/>
        </w:rPr>
        <w:t xml:space="preserve"> продажба на</w:t>
      </w:r>
      <w:r w:rsidRPr="00CF11B4">
        <w:t xml:space="preserve"> </w:t>
      </w:r>
      <w:r w:rsidRPr="00CF11B4">
        <w:rPr>
          <w:rFonts w:ascii="Verdana" w:hAnsi="Verdana"/>
          <w:sz w:val="20"/>
          <w:szCs w:val="20"/>
          <w:lang w:val="bg-BG"/>
        </w:rPr>
        <w:t>всекидневни потребителски стоки</w:t>
      </w:r>
      <w:r w:rsidRPr="00CA18B5">
        <w:rPr>
          <w:rFonts w:ascii="Verdana" w:hAnsi="Verdana"/>
          <w:sz w:val="20"/>
          <w:szCs w:val="20"/>
          <w:lang w:val="bg-BG"/>
        </w:rPr>
        <w:t>), значителен обем на пазара в паричн</w:t>
      </w:r>
      <w:r>
        <w:rPr>
          <w:rFonts w:ascii="Verdana" w:hAnsi="Verdana"/>
          <w:sz w:val="20"/>
          <w:szCs w:val="20"/>
          <w:lang w:val="bg-BG"/>
        </w:rPr>
        <w:t>о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изражение</w:t>
      </w:r>
      <w:r w:rsidRPr="00CA18B5">
        <w:rPr>
          <w:rFonts w:ascii="Verdana" w:hAnsi="Verdana"/>
          <w:sz w:val="20"/>
          <w:szCs w:val="20"/>
          <w:lang w:val="bg-BG"/>
        </w:rPr>
        <w:t xml:space="preserve">, а също </w:t>
      </w:r>
      <w:r>
        <w:rPr>
          <w:rFonts w:ascii="Verdana" w:hAnsi="Verdana"/>
          <w:sz w:val="20"/>
          <w:szCs w:val="20"/>
          <w:lang w:val="bg-BG"/>
        </w:rPr>
        <w:t>така</w:t>
      </w:r>
      <w:r w:rsidRPr="00CA18B5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8B5">
        <w:rPr>
          <w:rFonts w:ascii="Verdana" w:hAnsi="Verdana"/>
          <w:sz w:val="20"/>
          <w:szCs w:val="20"/>
          <w:lang w:val="bg-BG"/>
        </w:rPr>
        <w:t>клиент</w:t>
      </w:r>
      <w:r>
        <w:rPr>
          <w:rFonts w:ascii="Verdana" w:hAnsi="Verdana"/>
          <w:sz w:val="20"/>
          <w:szCs w:val="20"/>
          <w:lang w:val="bg-BG"/>
        </w:rPr>
        <w:t>и</w:t>
      </w:r>
      <w:r w:rsidRPr="00CA18B5">
        <w:rPr>
          <w:rFonts w:ascii="Verdana" w:hAnsi="Verdana"/>
          <w:sz w:val="20"/>
          <w:szCs w:val="20"/>
          <w:lang w:val="bg-BG"/>
        </w:rPr>
        <w:t xml:space="preserve"> на тези магазини </w:t>
      </w:r>
      <w:r>
        <w:rPr>
          <w:rFonts w:ascii="Verdana" w:hAnsi="Verdana"/>
          <w:sz w:val="20"/>
          <w:szCs w:val="20"/>
          <w:lang w:val="bg-BG"/>
        </w:rPr>
        <w:t>са</w:t>
      </w:r>
      <w:r w:rsidRPr="00CA18B5">
        <w:rPr>
          <w:rFonts w:ascii="Verdana" w:hAnsi="Verdana"/>
          <w:sz w:val="20"/>
          <w:szCs w:val="20"/>
          <w:lang w:val="bg-BG"/>
        </w:rPr>
        <w:t xml:space="preserve"> практически цялото население на страната. От друга страна, през 2015</w:t>
      </w:r>
      <w:r>
        <w:rPr>
          <w:rFonts w:ascii="Verdana" w:hAnsi="Verdana"/>
          <w:sz w:val="20"/>
          <w:szCs w:val="20"/>
          <w:lang w:val="bg-BG"/>
        </w:rPr>
        <w:t xml:space="preserve"> г.</w:t>
      </w:r>
      <w:r w:rsidRPr="00CA18B5">
        <w:rPr>
          <w:rFonts w:ascii="Verdana" w:hAnsi="Verdana"/>
          <w:sz w:val="20"/>
          <w:szCs w:val="20"/>
          <w:lang w:val="bg-BG"/>
        </w:rPr>
        <w:t xml:space="preserve"> и 2016 г. пазарът отбеляз</w:t>
      </w:r>
      <w:r>
        <w:rPr>
          <w:rFonts w:ascii="Verdana" w:hAnsi="Verdana"/>
          <w:sz w:val="20"/>
          <w:szCs w:val="20"/>
          <w:lang w:val="bg-BG"/>
        </w:rPr>
        <w:t>в</w:t>
      </w:r>
      <w:r w:rsidRPr="00CA18B5">
        <w:rPr>
          <w:rFonts w:ascii="Verdana" w:hAnsi="Verdana"/>
          <w:sz w:val="20"/>
          <w:szCs w:val="20"/>
          <w:lang w:val="bg-BG"/>
        </w:rPr>
        <w:t>а значителен спад: съответно на 9% и 5%. Също така</w:t>
      </w:r>
      <w:r>
        <w:rPr>
          <w:rFonts w:ascii="Verdana" w:hAnsi="Verdana"/>
          <w:sz w:val="20"/>
          <w:szCs w:val="20"/>
          <w:lang w:val="bg-BG"/>
        </w:rPr>
        <w:t>,</w:t>
      </w:r>
      <w:r w:rsidRPr="00CA18B5">
        <w:rPr>
          <w:rFonts w:ascii="Verdana" w:hAnsi="Verdana"/>
          <w:sz w:val="20"/>
          <w:szCs w:val="20"/>
          <w:lang w:val="bg-BG"/>
        </w:rPr>
        <w:t xml:space="preserve"> то</w:t>
      </w:r>
      <w:r>
        <w:rPr>
          <w:rFonts w:ascii="Verdana" w:hAnsi="Verdana"/>
          <w:sz w:val="20"/>
          <w:szCs w:val="20"/>
          <w:lang w:val="bg-BG"/>
        </w:rPr>
        <w:t>зи пазар</w:t>
      </w:r>
      <w:r w:rsidRPr="00CA18B5">
        <w:rPr>
          <w:rFonts w:ascii="Verdana" w:hAnsi="Verdana"/>
          <w:sz w:val="20"/>
          <w:szCs w:val="20"/>
          <w:lang w:val="bg-BG"/>
        </w:rPr>
        <w:t xml:space="preserve"> се характеризира с достатъчно висока концентрация: почти половината магазини принадлежат на 20-те най-големи търговци на дребно. </w:t>
      </w:r>
      <w:r>
        <w:rPr>
          <w:rFonts w:ascii="Verdana" w:hAnsi="Verdana"/>
          <w:sz w:val="20"/>
          <w:szCs w:val="20"/>
          <w:lang w:val="bg-BG"/>
        </w:rPr>
        <w:t>Делът</w:t>
      </w:r>
      <w:r w:rsidRPr="00CA18B5">
        <w:rPr>
          <w:rFonts w:ascii="Verdana" w:hAnsi="Verdana"/>
          <w:sz w:val="20"/>
          <w:szCs w:val="20"/>
          <w:lang w:val="bg-BG"/>
        </w:rPr>
        <w:t xml:space="preserve"> от магазини работещи под франчайзинг е мал</w:t>
      </w:r>
      <w:r>
        <w:rPr>
          <w:rFonts w:ascii="Verdana" w:hAnsi="Verdana"/>
          <w:sz w:val="20"/>
          <w:szCs w:val="20"/>
          <w:lang w:val="bg-BG"/>
        </w:rPr>
        <w:t>ък</w:t>
      </w:r>
      <w:r w:rsidRPr="00CA18B5">
        <w:rPr>
          <w:rFonts w:ascii="Verdana" w:hAnsi="Verdana"/>
          <w:sz w:val="20"/>
          <w:szCs w:val="20"/>
          <w:lang w:val="bg-BG"/>
        </w:rPr>
        <w:t xml:space="preserve"> – не повече от 10%. </w:t>
      </w:r>
      <w:r>
        <w:rPr>
          <w:rFonts w:ascii="Verdana" w:hAnsi="Verdana"/>
          <w:sz w:val="20"/>
          <w:szCs w:val="20"/>
          <w:lang w:val="bg-BG"/>
        </w:rPr>
        <w:t>О</w:t>
      </w:r>
      <w:r w:rsidRPr="00CA18B5">
        <w:rPr>
          <w:rFonts w:ascii="Verdana" w:hAnsi="Verdana"/>
          <w:sz w:val="20"/>
          <w:szCs w:val="20"/>
          <w:lang w:val="bg-BG"/>
        </w:rPr>
        <w:t>т една страна</w:t>
      </w:r>
      <w:r>
        <w:rPr>
          <w:rFonts w:ascii="Verdana" w:hAnsi="Verdana"/>
          <w:sz w:val="20"/>
          <w:szCs w:val="20"/>
          <w:lang w:val="bg-BG"/>
        </w:rPr>
        <w:t>,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т</w:t>
      </w:r>
      <w:r w:rsidRPr="00CA18B5">
        <w:rPr>
          <w:rFonts w:ascii="Verdana" w:hAnsi="Verdana"/>
          <w:sz w:val="20"/>
          <w:szCs w:val="20"/>
          <w:lang w:val="bg-BG"/>
        </w:rPr>
        <w:t xml:space="preserve">ова </w:t>
      </w:r>
      <w:r>
        <w:rPr>
          <w:rFonts w:ascii="Verdana" w:hAnsi="Verdana"/>
          <w:sz w:val="20"/>
          <w:szCs w:val="20"/>
          <w:lang w:val="bg-BG"/>
        </w:rPr>
        <w:t xml:space="preserve">е свързано с нежеланието на големите </w:t>
      </w:r>
      <w:r w:rsidRPr="00CA18B5">
        <w:rPr>
          <w:rFonts w:ascii="Verdana" w:hAnsi="Verdana"/>
          <w:sz w:val="20"/>
          <w:szCs w:val="20"/>
          <w:lang w:val="bg-BG"/>
        </w:rPr>
        <w:t xml:space="preserve">FMCG мрежи </w:t>
      </w:r>
      <w:r>
        <w:rPr>
          <w:rFonts w:ascii="Verdana" w:hAnsi="Verdana"/>
          <w:sz w:val="20"/>
          <w:szCs w:val="20"/>
          <w:lang w:val="bg-BG"/>
        </w:rPr>
        <w:t xml:space="preserve">да продават своя </w:t>
      </w:r>
      <w:r w:rsidRPr="00EE4956">
        <w:rPr>
          <w:rFonts w:ascii="Verdana" w:hAnsi="Verdana"/>
          <w:sz w:val="20"/>
          <w:szCs w:val="20"/>
          <w:lang w:val="bg-BG"/>
        </w:rPr>
        <w:t>франчайзинг</w:t>
      </w:r>
      <w:r>
        <w:rPr>
          <w:rFonts w:ascii="Verdana" w:hAnsi="Verdana"/>
          <w:sz w:val="20"/>
          <w:szCs w:val="20"/>
          <w:lang w:val="bg-BG"/>
        </w:rPr>
        <w:t xml:space="preserve">, за да се </w:t>
      </w:r>
      <w:r w:rsidRPr="00CA18B5">
        <w:rPr>
          <w:rFonts w:ascii="Verdana" w:hAnsi="Verdana"/>
          <w:sz w:val="20"/>
          <w:szCs w:val="20"/>
          <w:lang w:val="bg-BG"/>
        </w:rPr>
        <w:lastRenderedPageBreak/>
        <w:t>развива</w:t>
      </w:r>
      <w:r>
        <w:rPr>
          <w:rFonts w:ascii="Verdana" w:hAnsi="Verdana"/>
          <w:sz w:val="20"/>
          <w:szCs w:val="20"/>
          <w:lang w:val="bg-BG"/>
        </w:rPr>
        <w:t>т</w:t>
      </w:r>
      <w:r w:rsidRPr="00CA18B5">
        <w:rPr>
          <w:rFonts w:ascii="Verdana" w:hAnsi="Verdana"/>
          <w:sz w:val="20"/>
          <w:szCs w:val="20"/>
          <w:lang w:val="bg-BG"/>
        </w:rPr>
        <w:t xml:space="preserve"> самостоятелно, а от друга</w:t>
      </w:r>
      <w:r>
        <w:rPr>
          <w:rFonts w:ascii="Verdana" w:hAnsi="Verdana"/>
          <w:sz w:val="20"/>
          <w:szCs w:val="20"/>
          <w:lang w:val="bg-BG"/>
        </w:rPr>
        <w:t xml:space="preserve"> страна</w:t>
      </w:r>
      <w:r w:rsidRPr="00CA18B5">
        <w:rPr>
          <w:rFonts w:ascii="Verdana" w:hAnsi="Verdana"/>
          <w:sz w:val="20"/>
          <w:szCs w:val="20"/>
          <w:lang w:val="bg-BG"/>
        </w:rPr>
        <w:t>, инвестици</w:t>
      </w:r>
      <w:r>
        <w:rPr>
          <w:rFonts w:ascii="Verdana" w:hAnsi="Verdana"/>
          <w:sz w:val="20"/>
          <w:szCs w:val="20"/>
          <w:lang w:val="bg-BG"/>
        </w:rPr>
        <w:t>ите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в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този бизнес са сравнително високи –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около </w:t>
      </w:r>
      <w:r w:rsidRPr="00CA18B5">
        <w:rPr>
          <w:rFonts w:ascii="Verdana" w:hAnsi="Verdana"/>
          <w:sz w:val="20"/>
          <w:szCs w:val="20"/>
          <w:lang w:val="bg-BG"/>
        </w:rPr>
        <w:t>4,5 млн. рубли.</w:t>
      </w:r>
    </w:p>
    <w:p w:rsidR="00D45EA0" w:rsidRDefault="00D45EA0" w:rsidP="00D45EA0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18B5">
        <w:rPr>
          <w:rFonts w:ascii="Verdana" w:hAnsi="Verdana"/>
          <w:sz w:val="20"/>
          <w:szCs w:val="20"/>
          <w:lang w:val="bg-BG"/>
        </w:rPr>
        <w:t>Най-малко перспективен се оказва пазарът за обувки. През 2015 г. той отбелязва спад – почти 13 %. При това</w:t>
      </w:r>
      <w:r>
        <w:rPr>
          <w:rFonts w:ascii="Verdana" w:hAnsi="Verdana"/>
          <w:sz w:val="20"/>
          <w:szCs w:val="20"/>
          <w:lang w:val="bg-BG"/>
        </w:rPr>
        <w:t>,</w:t>
      </w:r>
      <w:r w:rsidRPr="00CA18B5">
        <w:rPr>
          <w:rFonts w:ascii="Verdana" w:hAnsi="Verdana"/>
          <w:sz w:val="20"/>
          <w:szCs w:val="20"/>
          <w:lang w:val="bg-BG"/>
        </w:rPr>
        <w:t xml:space="preserve"> първоначалната  инвестиция за откриване на бизнес се оказва една от най-високите от разгле</w:t>
      </w:r>
      <w:r>
        <w:rPr>
          <w:rFonts w:ascii="Verdana" w:hAnsi="Verdana"/>
          <w:sz w:val="20"/>
          <w:szCs w:val="20"/>
          <w:lang w:val="bg-BG"/>
        </w:rPr>
        <w:t>ж</w:t>
      </w:r>
      <w:r w:rsidRPr="00CA18B5">
        <w:rPr>
          <w:rFonts w:ascii="Verdana" w:hAnsi="Verdana"/>
          <w:sz w:val="20"/>
          <w:szCs w:val="20"/>
          <w:lang w:val="bg-BG"/>
        </w:rPr>
        <w:t>даните пазари – 4,5 млн</w:t>
      </w:r>
      <w:r>
        <w:rPr>
          <w:rFonts w:ascii="Verdana" w:hAnsi="Verdana"/>
          <w:sz w:val="20"/>
          <w:szCs w:val="20"/>
          <w:lang w:val="bg-BG"/>
        </w:rPr>
        <w:t>.</w:t>
      </w:r>
      <w:r w:rsidRPr="00CA18B5">
        <w:rPr>
          <w:rFonts w:ascii="Verdana" w:hAnsi="Verdana"/>
          <w:sz w:val="20"/>
          <w:szCs w:val="20"/>
          <w:lang w:val="bg-BG"/>
        </w:rPr>
        <w:t xml:space="preserve"> рубли. Това го прави  непривлекателен за франчайзи</w:t>
      </w:r>
      <w:r>
        <w:rPr>
          <w:rFonts w:ascii="Verdana" w:hAnsi="Verdana"/>
          <w:sz w:val="20"/>
          <w:szCs w:val="20"/>
          <w:lang w:val="bg-BG"/>
        </w:rPr>
        <w:t>нг</w:t>
      </w:r>
      <w:r w:rsidRPr="00CA18B5">
        <w:rPr>
          <w:rFonts w:ascii="Verdana" w:hAnsi="Verdana"/>
          <w:sz w:val="20"/>
          <w:szCs w:val="20"/>
          <w:lang w:val="bg-BG"/>
        </w:rPr>
        <w:t>: само 19% от магазините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CA18B5">
        <w:rPr>
          <w:rFonts w:ascii="Verdana" w:hAnsi="Verdana"/>
          <w:sz w:val="20"/>
          <w:szCs w:val="20"/>
          <w:lang w:val="bg-BG"/>
        </w:rPr>
        <w:t>за обувки</w:t>
      </w:r>
      <w:r>
        <w:rPr>
          <w:rFonts w:ascii="Verdana" w:hAnsi="Verdana"/>
          <w:sz w:val="20"/>
          <w:szCs w:val="20"/>
          <w:lang w:val="bg-BG"/>
        </w:rPr>
        <w:t xml:space="preserve"> работят чрез франчайзинг.</w:t>
      </w:r>
      <w:r w:rsidRPr="00CA18B5">
        <w:rPr>
          <w:rFonts w:ascii="Verdana" w:hAnsi="Verdana"/>
          <w:sz w:val="20"/>
          <w:szCs w:val="20"/>
          <w:lang w:val="bg-BG"/>
        </w:rPr>
        <w:t xml:space="preserve"> Освен това, на руския пазар за обувки работят относително малък брой т</w:t>
      </w:r>
      <w:r>
        <w:rPr>
          <w:rFonts w:ascii="Verdana" w:hAnsi="Verdana"/>
          <w:sz w:val="20"/>
          <w:szCs w:val="20"/>
          <w:lang w:val="bg-BG"/>
        </w:rPr>
        <w:t>ърговци на дребно (</w:t>
      </w:r>
      <w:r w:rsidRPr="00CA18B5">
        <w:rPr>
          <w:rFonts w:ascii="Verdana" w:hAnsi="Verdana"/>
          <w:sz w:val="20"/>
          <w:szCs w:val="20"/>
          <w:lang w:val="bg-BG"/>
        </w:rPr>
        <w:t xml:space="preserve">общо 292 </w:t>
      </w:r>
      <w:r>
        <w:rPr>
          <w:rFonts w:ascii="Verdana" w:hAnsi="Verdana"/>
          <w:sz w:val="20"/>
          <w:szCs w:val="20"/>
          <w:lang w:val="bg-BG"/>
        </w:rPr>
        <w:t>вериги</w:t>
      </w:r>
      <w:r w:rsidRPr="00CA18B5">
        <w:rPr>
          <w:rFonts w:ascii="Verdana" w:hAnsi="Verdana"/>
          <w:sz w:val="20"/>
          <w:szCs w:val="20"/>
          <w:lang w:val="bg-BG"/>
        </w:rPr>
        <w:t>).</w:t>
      </w:r>
    </w:p>
    <w:p w:rsidR="00D45EA0" w:rsidRPr="00CA18B5" w:rsidRDefault="00D45EA0" w:rsidP="00D45EA0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18B5">
        <w:rPr>
          <w:rFonts w:ascii="Verdana" w:hAnsi="Verdana"/>
          <w:sz w:val="20"/>
          <w:szCs w:val="20"/>
          <w:lang w:val="bg-BG"/>
        </w:rPr>
        <w:t xml:space="preserve">Може да се каже, че </w:t>
      </w:r>
      <w:r>
        <w:rPr>
          <w:rFonts w:ascii="Verdana" w:hAnsi="Verdana"/>
          <w:sz w:val="20"/>
          <w:szCs w:val="20"/>
          <w:lang w:val="bg-BG"/>
        </w:rPr>
        <w:t>на този пазар работят</w:t>
      </w:r>
      <w:r w:rsidRPr="00CA18B5">
        <w:rPr>
          <w:rFonts w:ascii="Verdana" w:hAnsi="Verdana"/>
          <w:sz w:val="20"/>
          <w:szCs w:val="20"/>
          <w:lang w:val="bg-BG"/>
        </w:rPr>
        <w:t xml:space="preserve"> малко търговци</w:t>
      </w:r>
      <w:r>
        <w:rPr>
          <w:rFonts w:ascii="Verdana" w:hAnsi="Verdana"/>
          <w:sz w:val="20"/>
          <w:szCs w:val="20"/>
          <w:lang w:val="bg-BG"/>
        </w:rPr>
        <w:t xml:space="preserve"> и те </w:t>
      </w:r>
      <w:r w:rsidRPr="00CA18B5">
        <w:rPr>
          <w:rFonts w:ascii="Verdana" w:hAnsi="Verdana"/>
          <w:sz w:val="20"/>
          <w:szCs w:val="20"/>
          <w:lang w:val="bg-BG"/>
        </w:rPr>
        <w:t>предпочитат да развиват собствен</w:t>
      </w:r>
      <w:r>
        <w:rPr>
          <w:rFonts w:ascii="Verdana" w:hAnsi="Verdana"/>
          <w:sz w:val="20"/>
          <w:szCs w:val="20"/>
          <w:lang w:val="bg-BG"/>
        </w:rPr>
        <w:t>и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вериги</w:t>
      </w:r>
      <w:r w:rsidRPr="00CA18B5">
        <w:rPr>
          <w:rFonts w:ascii="Verdana" w:hAnsi="Verdana"/>
          <w:sz w:val="20"/>
          <w:szCs w:val="20"/>
          <w:lang w:val="bg-BG"/>
        </w:rPr>
        <w:t xml:space="preserve">, а начинаещите предприемачи навлизат на </w:t>
      </w:r>
      <w:r>
        <w:rPr>
          <w:rFonts w:ascii="Verdana" w:hAnsi="Verdana"/>
          <w:sz w:val="20"/>
          <w:szCs w:val="20"/>
          <w:lang w:val="bg-BG"/>
        </w:rPr>
        <w:t xml:space="preserve">този </w:t>
      </w:r>
      <w:r w:rsidRPr="00CA18B5">
        <w:rPr>
          <w:rFonts w:ascii="Verdana" w:hAnsi="Verdana"/>
          <w:sz w:val="20"/>
          <w:szCs w:val="20"/>
          <w:lang w:val="bg-BG"/>
        </w:rPr>
        <w:t xml:space="preserve">пазар </w:t>
      </w:r>
      <w:r>
        <w:rPr>
          <w:rFonts w:ascii="Verdana" w:hAnsi="Verdana"/>
          <w:sz w:val="20"/>
          <w:szCs w:val="20"/>
          <w:lang w:val="bg-BG"/>
        </w:rPr>
        <w:t>неохотно.</w:t>
      </w:r>
    </w:p>
    <w:p w:rsidR="00D45EA0" w:rsidRPr="00CA18B5" w:rsidRDefault="00D45EA0" w:rsidP="00D45EA0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CA18B5">
        <w:rPr>
          <w:rFonts w:ascii="Verdana" w:hAnsi="Verdana"/>
          <w:b/>
          <w:sz w:val="20"/>
          <w:szCs w:val="20"/>
          <w:lang w:val="bg-BG"/>
        </w:rPr>
        <w:t>Методология</w:t>
      </w:r>
      <w:r>
        <w:rPr>
          <w:rFonts w:ascii="Verdana" w:hAnsi="Verdana"/>
          <w:b/>
          <w:sz w:val="20"/>
          <w:szCs w:val="20"/>
          <w:lang w:val="bg-BG"/>
        </w:rPr>
        <w:t xml:space="preserve"> на изследването.</w:t>
      </w:r>
    </w:p>
    <w:p w:rsidR="00D45EA0" w:rsidRPr="00CA18B5" w:rsidRDefault="00D45EA0" w:rsidP="00D45EA0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18B5">
        <w:rPr>
          <w:rFonts w:ascii="Verdana" w:hAnsi="Verdana"/>
          <w:sz w:val="20"/>
          <w:szCs w:val="20"/>
          <w:lang w:val="bg-BG"/>
        </w:rPr>
        <w:t>При съставянето на рейтинга на водещите пазари на дребно, от гледна точка на перспективата за откриване на бизнес</w:t>
      </w:r>
      <w:r>
        <w:rPr>
          <w:rFonts w:ascii="Verdana" w:hAnsi="Verdana"/>
          <w:sz w:val="20"/>
          <w:szCs w:val="20"/>
          <w:lang w:val="bg-BG"/>
        </w:rPr>
        <w:t>, са</w:t>
      </w:r>
      <w:r w:rsidRPr="00CA18B5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взети предвид</w:t>
      </w:r>
      <w:r w:rsidRPr="00CA18B5">
        <w:rPr>
          <w:rFonts w:ascii="Verdana" w:hAnsi="Verdana"/>
          <w:sz w:val="20"/>
          <w:szCs w:val="20"/>
          <w:lang w:val="bg-BG"/>
        </w:rPr>
        <w:t xml:space="preserve"> след</w:t>
      </w:r>
      <w:r>
        <w:rPr>
          <w:rFonts w:ascii="Verdana" w:hAnsi="Verdana"/>
          <w:sz w:val="20"/>
          <w:szCs w:val="20"/>
          <w:lang w:val="bg-BG"/>
        </w:rPr>
        <w:t>ните</w:t>
      </w:r>
      <w:r w:rsidRPr="00CA18B5">
        <w:rPr>
          <w:rFonts w:ascii="Verdana" w:hAnsi="Verdana"/>
          <w:sz w:val="20"/>
          <w:szCs w:val="20"/>
          <w:lang w:val="bg-BG"/>
        </w:rPr>
        <w:t xml:space="preserve"> характерис</w:t>
      </w:r>
      <w:r>
        <w:rPr>
          <w:rFonts w:ascii="Verdana" w:hAnsi="Verdana"/>
          <w:sz w:val="20"/>
          <w:szCs w:val="20"/>
          <w:lang w:val="bg-BG"/>
        </w:rPr>
        <w:t>т</w:t>
      </w:r>
      <w:r w:rsidRPr="00CA18B5">
        <w:rPr>
          <w:rFonts w:ascii="Verdana" w:hAnsi="Verdana"/>
          <w:sz w:val="20"/>
          <w:szCs w:val="20"/>
          <w:lang w:val="bg-BG"/>
        </w:rPr>
        <w:t xml:space="preserve">ики: обем и динамика на пазара; </w:t>
      </w:r>
      <w:r>
        <w:rPr>
          <w:rFonts w:ascii="Verdana" w:hAnsi="Verdana"/>
          <w:sz w:val="20"/>
          <w:szCs w:val="20"/>
          <w:lang w:val="bg-BG"/>
        </w:rPr>
        <w:t>количество</w:t>
      </w:r>
      <w:r w:rsidRPr="00CA18B5">
        <w:rPr>
          <w:rFonts w:ascii="Verdana" w:hAnsi="Verdana"/>
          <w:sz w:val="20"/>
          <w:szCs w:val="20"/>
          <w:lang w:val="bg-BG"/>
        </w:rPr>
        <w:t xml:space="preserve"> клиенти; количество търговци на пазара; дял на големите търговци на дребно</w:t>
      </w:r>
      <w:r>
        <w:rPr>
          <w:rFonts w:ascii="Verdana" w:hAnsi="Verdana"/>
          <w:sz w:val="20"/>
          <w:szCs w:val="20"/>
          <w:lang w:val="bg-BG"/>
        </w:rPr>
        <w:t xml:space="preserve"> на пазара</w:t>
      </w:r>
      <w:r w:rsidRPr="00CA18B5">
        <w:rPr>
          <w:rFonts w:ascii="Verdana" w:hAnsi="Verdana"/>
          <w:sz w:val="20"/>
          <w:szCs w:val="20"/>
          <w:lang w:val="bg-BG"/>
        </w:rPr>
        <w:t xml:space="preserve">; количество магазини открити </w:t>
      </w:r>
      <w:r>
        <w:rPr>
          <w:rFonts w:ascii="Verdana" w:hAnsi="Verdana"/>
          <w:sz w:val="20"/>
          <w:szCs w:val="20"/>
          <w:lang w:val="bg-BG"/>
        </w:rPr>
        <w:t>чрез</w:t>
      </w:r>
      <w:r w:rsidRPr="00CA18B5">
        <w:rPr>
          <w:rFonts w:ascii="Verdana" w:hAnsi="Verdana"/>
          <w:sz w:val="20"/>
          <w:szCs w:val="20"/>
          <w:lang w:val="bg-BG"/>
        </w:rPr>
        <w:t xml:space="preserve"> франчайзинг, среден обем на инвестици</w:t>
      </w:r>
      <w:r>
        <w:rPr>
          <w:rFonts w:ascii="Verdana" w:hAnsi="Verdana"/>
          <w:sz w:val="20"/>
          <w:szCs w:val="20"/>
          <w:lang w:val="bg-BG"/>
        </w:rPr>
        <w:t>и, необходими</w:t>
      </w:r>
      <w:r w:rsidRPr="00CA18B5">
        <w:rPr>
          <w:rFonts w:ascii="Verdana" w:hAnsi="Verdana"/>
          <w:sz w:val="20"/>
          <w:szCs w:val="20"/>
          <w:lang w:val="bg-BG"/>
        </w:rPr>
        <w:t xml:space="preserve"> за откриване на бизнес в дадена сфера. По тези характеристики е разработен обобщаващ показател с експертна оценка</w:t>
      </w:r>
      <w:r>
        <w:rPr>
          <w:rFonts w:ascii="Verdana" w:hAnsi="Verdana"/>
          <w:sz w:val="20"/>
          <w:szCs w:val="20"/>
          <w:lang w:val="bg-BG"/>
        </w:rPr>
        <w:t xml:space="preserve"> и е</w:t>
      </w:r>
      <w:r w:rsidRPr="00CA18B5">
        <w:rPr>
          <w:rFonts w:ascii="Verdana" w:hAnsi="Verdana"/>
          <w:sz w:val="20"/>
          <w:szCs w:val="20"/>
          <w:lang w:val="bg-BG"/>
        </w:rPr>
        <w:t xml:space="preserve"> съставен рейтинг</w:t>
      </w:r>
      <w:r>
        <w:rPr>
          <w:rFonts w:ascii="Verdana" w:hAnsi="Verdana"/>
          <w:sz w:val="20"/>
          <w:szCs w:val="20"/>
          <w:lang w:val="bg-BG"/>
        </w:rPr>
        <w:t>а</w:t>
      </w:r>
      <w:r w:rsidRPr="00CA18B5">
        <w:rPr>
          <w:rFonts w:ascii="Verdana" w:hAnsi="Verdana"/>
          <w:sz w:val="20"/>
          <w:szCs w:val="20"/>
          <w:lang w:val="bg-BG"/>
        </w:rPr>
        <w:t xml:space="preserve"> на пазарите на дребно от 0 до </w:t>
      </w:r>
      <w:r>
        <w:rPr>
          <w:rFonts w:ascii="Verdana" w:hAnsi="Verdana"/>
          <w:sz w:val="20"/>
          <w:szCs w:val="20"/>
          <w:lang w:val="bg-BG"/>
        </w:rPr>
        <w:t>100 (</w:t>
      </w:r>
      <w:r w:rsidRPr="00CA18B5">
        <w:rPr>
          <w:rFonts w:ascii="Verdana" w:hAnsi="Verdana"/>
          <w:sz w:val="20"/>
          <w:szCs w:val="20"/>
          <w:lang w:val="bg-BG"/>
        </w:rPr>
        <w:t>0 – неперспективен пазар, 100 – много перспективен пазар).</w:t>
      </w:r>
    </w:p>
    <w:p w:rsidR="00D45EA0" w:rsidRPr="00CA18B5" w:rsidRDefault="00D45EA0" w:rsidP="00D45EA0">
      <w:pPr>
        <w:pStyle w:val="NormalWeb"/>
        <w:spacing w:before="0" w:beforeAutospacing="0" w:after="0" w:afterAutospacing="0" w:line="276" w:lineRule="auto"/>
        <w:ind w:firstLine="708"/>
        <w:jc w:val="right"/>
        <w:rPr>
          <w:rFonts w:ascii="Verdana" w:hAnsi="Verdana"/>
          <w:sz w:val="20"/>
          <w:szCs w:val="20"/>
          <w:lang w:val="bg-BG"/>
        </w:rPr>
      </w:pPr>
    </w:p>
    <w:p w:rsidR="00D45EA0" w:rsidRPr="00CA18B5" w:rsidRDefault="00D45EA0" w:rsidP="00D45EA0">
      <w:pPr>
        <w:pStyle w:val="NormalWeb"/>
        <w:spacing w:before="0" w:beforeAutospacing="0" w:after="0" w:afterAutospacing="0" w:line="276" w:lineRule="auto"/>
        <w:ind w:firstLine="708"/>
        <w:jc w:val="right"/>
        <w:rPr>
          <w:rFonts w:ascii="Verdana" w:hAnsi="Verdana"/>
          <w:sz w:val="20"/>
          <w:szCs w:val="20"/>
          <w:lang w:val="bg-BG"/>
        </w:rPr>
      </w:pPr>
      <w:hyperlink r:id="rId9" w:history="1">
        <w:r w:rsidRPr="0055604B">
          <w:rPr>
            <w:rStyle w:val="Hyperlink"/>
            <w:rFonts w:ascii="Verdana" w:hAnsi="Verdana"/>
            <w:sz w:val="20"/>
            <w:szCs w:val="20"/>
            <w:lang w:val="bg-BG"/>
          </w:rPr>
          <w:t>http://marketing.rbc.ru/</w:t>
        </w:r>
      </w:hyperlink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184645" w:rsidRDefault="00184645"/>
    <w:sectPr w:rsidR="0018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9C"/>
    <w:rsid w:val="00184645"/>
    <w:rsid w:val="007A579C"/>
    <w:rsid w:val="00D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5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EA0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45EA0"/>
  </w:style>
  <w:style w:type="paragraph" w:styleId="NormalWeb">
    <w:name w:val="Normal (Web)"/>
    <w:basedOn w:val="Normal"/>
    <w:uiPriority w:val="99"/>
    <w:unhideWhenUsed/>
    <w:rsid w:val="00D4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5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EA0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45EA0"/>
  </w:style>
  <w:style w:type="paragraph" w:styleId="NormalWeb">
    <w:name w:val="Normal (Web)"/>
    <w:basedOn w:val="Normal"/>
    <w:uiPriority w:val="99"/>
    <w:unhideWhenUsed/>
    <w:rsid w:val="00D4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ru/url?sa=i&amp;rct=j&amp;q=&amp;esrc=s&amp;source=images&amp;cd=&amp;cad=rja&amp;uact=8&amp;ved=0ahUKEwiC9sypy_bSAhVFOpoKHReZCy4QjRwIBw&amp;url=http://sd-company.su/article/team_management/prospects_development&amp;bvm=bv.150729734,d.bGs&amp;psig=AFQjCNG_taQ0bedBO9Z8gKvi6Moow9vGkQ&amp;ust=14907006994729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keting.rbc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детски стоки</c:v>
                </c:pt>
                <c:pt idx="1">
                  <c:v>козметика и парфюмерия</c:v>
                </c:pt>
                <c:pt idx="2">
                  <c:v>обществено хранене</c:v>
                </c:pt>
                <c:pt idx="3">
                  <c:v>DIY</c:v>
                </c:pt>
                <c:pt idx="4">
                  <c:v>дрехи</c:v>
                </c:pt>
                <c:pt idx="5">
                  <c:v>мебели</c:v>
                </c:pt>
                <c:pt idx="6">
                  <c:v>FMCG</c:v>
                </c:pt>
                <c:pt idx="7">
                  <c:v>обувки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67</c:v>
                </c:pt>
                <c:pt idx="1">
                  <c:v>58</c:v>
                </c:pt>
                <c:pt idx="2">
                  <c:v>47</c:v>
                </c:pt>
                <c:pt idx="3">
                  <c:v>40</c:v>
                </c:pt>
                <c:pt idx="4">
                  <c:v>37</c:v>
                </c:pt>
                <c:pt idx="5">
                  <c:v>33</c:v>
                </c:pt>
                <c:pt idx="6">
                  <c:v>21</c:v>
                </c:pt>
                <c:pt idx="7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детски стоки</c:v>
                </c:pt>
                <c:pt idx="1">
                  <c:v>козметика и парфюмерия</c:v>
                </c:pt>
                <c:pt idx="2">
                  <c:v>обществено хранене</c:v>
                </c:pt>
                <c:pt idx="3">
                  <c:v>DIY</c:v>
                </c:pt>
                <c:pt idx="4">
                  <c:v>дрехи</c:v>
                </c:pt>
                <c:pt idx="5">
                  <c:v>мебели</c:v>
                </c:pt>
                <c:pt idx="6">
                  <c:v>FMCG</c:v>
                </c:pt>
                <c:pt idx="7">
                  <c:v>обувки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детски стоки</c:v>
                </c:pt>
                <c:pt idx="1">
                  <c:v>козметика и парфюмерия</c:v>
                </c:pt>
                <c:pt idx="2">
                  <c:v>обществено хранене</c:v>
                </c:pt>
                <c:pt idx="3">
                  <c:v>DIY</c:v>
                </c:pt>
                <c:pt idx="4">
                  <c:v>дрехи</c:v>
                </c:pt>
                <c:pt idx="5">
                  <c:v>мебели</c:v>
                </c:pt>
                <c:pt idx="6">
                  <c:v>FMCG</c:v>
                </c:pt>
                <c:pt idx="7">
                  <c:v>обувки</c:v>
                </c:pt>
              </c:strCache>
            </c:strRef>
          </c:cat>
          <c:val>
            <c:numRef>
              <c:f>Лист1!$D$2:$D$9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912704"/>
        <c:axId val="75914240"/>
        <c:axId val="0"/>
      </c:bar3DChart>
      <c:catAx>
        <c:axId val="75912704"/>
        <c:scaling>
          <c:orientation val="minMax"/>
        </c:scaling>
        <c:delete val="0"/>
        <c:axPos val="l"/>
        <c:majorTickMark val="out"/>
        <c:minorTickMark val="none"/>
        <c:tickLblPos val="nextTo"/>
        <c:crossAx val="75914240"/>
        <c:crosses val="autoZero"/>
        <c:auto val="1"/>
        <c:lblAlgn val="ctr"/>
        <c:lblOffset val="100"/>
        <c:noMultiLvlLbl val="0"/>
      </c:catAx>
      <c:valAx>
        <c:axId val="75914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5912704"/>
        <c:crosses val="autoZero"/>
        <c:crossBetween val="between"/>
      </c:valAx>
      <c:spPr>
        <a:solidFill>
          <a:srgbClr val="1F497D">
            <a:lumMod val="20000"/>
            <a:lumOff val="80000"/>
          </a:srgbClr>
        </a:solidFill>
      </c:spPr>
    </c:plotArea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2017-04-13T08:12:00Z</dcterms:created>
  <dcterms:modified xsi:type="dcterms:W3CDTF">2017-04-13T08:13:00Z</dcterms:modified>
</cp:coreProperties>
</file>