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F1" w:rsidRDefault="00193AF1" w:rsidP="00193AF1">
      <w:pPr>
        <w:spacing w:after="0"/>
        <w:ind w:firstLine="708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</w:p>
    <w:p w:rsidR="00193AF1" w:rsidRDefault="00193AF1" w:rsidP="00193AF1">
      <w:pPr>
        <w:spacing w:after="0"/>
        <w:ind w:firstLine="708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</w:p>
    <w:p w:rsidR="00193AF1" w:rsidRPr="00C42942" w:rsidRDefault="00193AF1" w:rsidP="00193AF1">
      <w:pPr>
        <w:spacing w:after="0"/>
        <w:ind w:firstLine="708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C4294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FB9791" wp14:editId="6DF271AF">
            <wp:simplePos x="0" y="0"/>
            <wp:positionH relativeFrom="column">
              <wp:posOffset>-70485</wp:posOffset>
            </wp:positionH>
            <wp:positionV relativeFrom="paragraph">
              <wp:posOffset>11430</wp:posOffset>
            </wp:positionV>
            <wp:extent cx="2051050" cy="2821305"/>
            <wp:effectExtent l="0" t="0" r="6350" b="0"/>
            <wp:wrapSquare wrapText="bothSides"/>
            <wp:docPr id="1" name="Рисунок 1" descr="ÐÐ°ÑÑÐ¸Ð½ÐºÐ¸ Ð¿Ð¾ Ð·Ð°Ð¿ÑÐ¾ÑÑ ÐºÐ°ÑÑÐ¸Ð½ÐºÐ¸ ÑÐ³ÑÑÐµÐ½Ð½Ð¾Ð³Ð¾ Ð¼Ð¾Ð»Ð¾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ÑÐ³ÑÑÐµÐ½Ð½Ð¾Ð³Ð¾ Ð¼Ð¾Ð»Ð¾Ðº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942">
        <w:rPr>
          <w:rFonts w:ascii="Verdana" w:eastAsia="Calibri" w:hAnsi="Verdana" w:cs="Times New Roman"/>
          <w:b/>
          <w:sz w:val="20"/>
          <w:szCs w:val="20"/>
          <w:lang w:val="bg-BG"/>
        </w:rPr>
        <w:t>ПРЕГЛЕД НА РУСКИЯ ПАЗАР НА КОНДЕНЗИРАНО МЛЯКО</w:t>
      </w:r>
    </w:p>
    <w:p w:rsidR="00193AF1" w:rsidRPr="00C42942" w:rsidRDefault="00193AF1" w:rsidP="00193AF1">
      <w:pPr>
        <w:spacing w:after="0"/>
        <w:ind w:firstLine="708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За първи път кондензирано мляко е произведено в края на 19 век. Технологията за приготвяне е патентовано от американския изобретател 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Гейл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Борден на 19 август 1856 година. През 1858 г. в САЩ е открит първият в света завод за производство на кондензирано мляко, а в Русия за пръв път предприятие за производство на този продукт се появява в г. 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Оренбург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през 1881 година.</w:t>
      </w: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sz w:val="20"/>
          <w:szCs w:val="20"/>
          <w:lang w:val="bg-BG"/>
        </w:rPr>
        <w:t>В Русия кондензираното мляко е един от основните компоненти на държавния продоволствен резерв. Потребители на кондензирано мляко са сладкарската индустрия (производство на сладкарски изделия) и населението.</w:t>
      </w: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sz w:val="20"/>
          <w:szCs w:val="20"/>
          <w:lang w:val="bg-BG"/>
        </w:rPr>
        <w:t>На динамиката на руския пазар на млечни консерви значително влияние оказва кризата през 2014 г.: намаляването на покупателната способност на населението негативно влияние върху обема на потребление и след 11% ръст през 2013 г., през 2014 г пазара намалява с 10% в реално изражение. През 2015 г. продължава спада на потребление на кондензирано мляко с още 6,5%. Към края на 2016 г. обемите на потребление почти се възстановяват, като достигат показателите в периода преди кризата  – ръст с 4,5%. За периода от януари до септември 2017 година пазара е отбелязал ръст с още 1,3% в сравнение със същия период на 2016 г.</w:t>
      </w: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193AF1" w:rsidRPr="00C42942" w:rsidRDefault="00193AF1" w:rsidP="00193AF1">
      <w:pPr>
        <w:spacing w:after="0"/>
        <w:ind w:firstLine="708"/>
        <w:jc w:val="center"/>
        <w:rPr>
          <w:rFonts w:ascii="Verdana" w:eastAsia="Calibri" w:hAnsi="Verdana" w:cs="Times New Roman"/>
          <w:b/>
          <w:i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b/>
          <w:i/>
          <w:sz w:val="20"/>
          <w:szCs w:val="20"/>
          <w:lang w:val="bg-BG"/>
        </w:rPr>
        <w:t xml:space="preserve">Динамика на пазара на кондензирано мляко през периода 2012 г. </w:t>
      </w:r>
    </w:p>
    <w:p w:rsidR="00193AF1" w:rsidRPr="00C42942" w:rsidRDefault="00193AF1" w:rsidP="00193AF1">
      <w:pPr>
        <w:spacing w:after="0"/>
        <w:ind w:firstLine="708"/>
        <w:jc w:val="center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b/>
          <w:i/>
          <w:sz w:val="20"/>
          <w:szCs w:val="20"/>
          <w:lang w:val="bg-BG"/>
        </w:rPr>
        <w:t>януари-септември 2017 г./хил.т.</w:t>
      </w:r>
    </w:p>
    <w:p w:rsidR="00193AF1" w:rsidRPr="00C42942" w:rsidRDefault="00193AF1" w:rsidP="00193AF1">
      <w:pPr>
        <w:spacing w:after="0"/>
        <w:ind w:firstLine="708"/>
        <w:jc w:val="center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90048E1" wp14:editId="6AF88E6B">
            <wp:extent cx="5029200" cy="2279650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3AF1" w:rsidRPr="00C42942" w:rsidRDefault="00193AF1" w:rsidP="00193AF1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sz w:val="20"/>
          <w:szCs w:val="20"/>
          <w:lang w:val="bg-BG"/>
        </w:rPr>
        <w:t>Основният обем в производството на кондензираните млечни продукти – 56%, заема кондензираното мляко. За първите 9 месеца на 2017 г., на пазара са били пуснати 351,9 милиона стандартни кутии от този продукт. Производството на кондензирани млечни продукти с различни добавки е общо около 44% (през последните 3 години делът на тези продукти значително е нараснал), а делът на кондензираната сметана е 0,5%.</w:t>
      </w: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Сред регионите–производители на кондензирани млечни продукти водещи са 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Белгородска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област, чийто дял е 22-23% от общите обеми на производство. В областта се намират такива големи заводи, като: ЗАО «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Алексеевский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молочноконсервный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комбинат», ОАО «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Белгородские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молочные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продукты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>» и ЗАО «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Волоконовский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молочноконсервный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комбинат». Следват: Смоленска област с дял от 12% (тук се намира ООО "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Промконсервы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"), 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Омска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област (ЗАО "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Люблинский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молочноконсервный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комбинат") – 11%, 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Краснодарски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край (ЗАО "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Кореновский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молочно-консервный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комбинат", ОАО "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Кропоткинский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молочный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комбинат") – 11%, 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Орловска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област (ЗАО "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Верховский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молочно-консервный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завод") и 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Курска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област (ОАО "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Льговский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молочно-консервный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комбинат", ООО "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Железногорск-молоко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>") – по 10%.</w:t>
      </w: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sz w:val="20"/>
          <w:szCs w:val="20"/>
          <w:lang w:val="bg-BG"/>
        </w:rPr>
        <w:lastRenderedPageBreak/>
        <w:t xml:space="preserve">Делът на износа от общото производство на кондензирано мляко в периода преди кризата е бил 9-10%. След 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контрасанкциите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>, наложени от Русия през 2014 г., износът на руското кондензирано мляко с всяка година намалява. В момента делът на износа от общия обем на пазара е около 3%.</w:t>
      </w: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Подобно на много други пазари, пазара на кондензирано мляко също се оказва под влиянието на кризата и 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контасанкциите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>, наложени от Русия през 2014 година. Във връзка с ръста на курса на чуждите валути и въвеждането на ембарго върху вноса на храни от редица страни, доставките на кондензирано мляко в Русия значително намаляват – от 220 хиляди тона през 2013 г. до 143,8 хиляди тона през 2016 г.</w:t>
      </w: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sz w:val="20"/>
          <w:szCs w:val="20"/>
          <w:lang w:val="bg-BG"/>
        </w:rPr>
        <w:t>На пазара като цяло, делът на вноса на кондензирано мляко е достигал до 40% и повече. Така, през 2013 г. този процент в реално изражение е възлизал на 41%, а към края на 2014 г. – 37%. Тази тенденция е свързана с въвеждането на ответни санкции и кризата.</w:t>
      </w: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sz w:val="20"/>
          <w:szCs w:val="20"/>
          <w:lang w:val="bg-BG"/>
        </w:rPr>
        <w:t>През 2016 г. вносът на кондензирано мляко леко се увеличава – с почти 5% и достига 143,8 хиляди тона. Но вече в първите 8 месеца на 2017 г., се отбелязва спад на доставките на почти 6% в сравнение със същия период на 2016 година. В момента делът на вноса на кондензирано мляко е около 30%.</w:t>
      </w: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sz w:val="20"/>
          <w:szCs w:val="20"/>
          <w:lang w:val="bg-BG"/>
        </w:rPr>
        <w:t>Основният доставчик на кондензирани млечни продукти на руския пазар е Беларус с дял от 79% от целия внос в реално изражение и 76% в парично. Отбелязва се намаляване на делът на белоруско кондензирано мляко, което се дължи на намаляване на доставките от тази страна (13% в реално изражение през 2017 г.) и големият ръст на внос от Нова Зеландия (с 1130% за първите 8 месеца на 2017 г. в отношение на същия период на 2016 г.) и Иран (с 4768%). Вносът на белоруско кондензирано мляко намалява вече в продължение на няколко години, при това Белорусия все още остава основният доставчик на този продукт – за първите 8 месеца на 2017 г., от тази страна са доставени 83,5 хиляди тона кондензирано мляко, спрямо 95,7 тона за същия период на 2016 г.</w:t>
      </w: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193AF1" w:rsidRPr="00C42942" w:rsidRDefault="00193AF1" w:rsidP="00193AF1">
      <w:pPr>
        <w:spacing w:after="0"/>
        <w:ind w:firstLine="708"/>
        <w:jc w:val="center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b/>
          <w:i/>
          <w:sz w:val="20"/>
          <w:szCs w:val="20"/>
          <w:lang w:val="bg-BG"/>
        </w:rPr>
        <w:t>Структура на вноса на кондензирано мляко според основните страни вносителки през 2016 – 2017 г.</w:t>
      </w:r>
      <w:proofErr w:type="spellStart"/>
      <w:r w:rsidRPr="00C42942">
        <w:rPr>
          <w:rFonts w:ascii="Verdana" w:eastAsia="Calibri" w:hAnsi="Verdana" w:cs="Times New Roman"/>
          <w:b/>
          <w:i/>
          <w:sz w:val="20"/>
          <w:szCs w:val="20"/>
          <w:lang w:val="bg-BG"/>
        </w:rPr>
        <w:t>г</w:t>
      </w:r>
      <w:proofErr w:type="spellEnd"/>
      <w:r w:rsidRPr="00C42942">
        <w:rPr>
          <w:rFonts w:ascii="Verdana" w:eastAsia="Calibri" w:hAnsi="Verdana" w:cs="Times New Roman"/>
          <w:b/>
          <w:i/>
          <w:sz w:val="20"/>
          <w:szCs w:val="20"/>
          <w:lang w:val="bg-BG"/>
        </w:rPr>
        <w:t>. в реално изражение, %</w:t>
      </w: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193AF1" w:rsidRPr="00C42942" w:rsidRDefault="00193AF1" w:rsidP="00193AF1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C7C7EEE" wp14:editId="2F1E450E">
            <wp:simplePos x="0" y="0"/>
            <wp:positionH relativeFrom="column">
              <wp:posOffset>-133985</wp:posOffset>
            </wp:positionH>
            <wp:positionV relativeFrom="paragraph">
              <wp:posOffset>-1270</wp:posOffset>
            </wp:positionV>
            <wp:extent cx="3397250" cy="204470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942">
        <w:rPr>
          <w:rFonts w:ascii="Verdana" w:eastAsia="Calibri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74C06B3" wp14:editId="7AA9C7FB">
            <wp:extent cx="3352800" cy="20447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             </w:t>
      </w:r>
      <w:r w:rsidRPr="00C42942">
        <w:rPr>
          <w:rFonts w:ascii="Verdana" w:eastAsia="Calibri" w:hAnsi="Verdana" w:cs="Times New Roman"/>
          <w:b/>
          <w:sz w:val="20"/>
          <w:szCs w:val="20"/>
          <w:lang w:val="bg-BG"/>
        </w:rPr>
        <w:t>2016 година</w:t>
      </w:r>
      <w:r w:rsidRPr="00C42942">
        <w:rPr>
          <w:rFonts w:ascii="Verdana" w:eastAsia="Calibri" w:hAnsi="Verdana" w:cs="Times New Roman"/>
          <w:sz w:val="20"/>
          <w:szCs w:val="20"/>
          <w:lang w:val="bg-BG"/>
        </w:rPr>
        <w:tab/>
      </w:r>
      <w:r w:rsidRPr="00C42942">
        <w:rPr>
          <w:rFonts w:ascii="Verdana" w:eastAsia="Calibri" w:hAnsi="Verdana" w:cs="Times New Roman"/>
          <w:sz w:val="20"/>
          <w:szCs w:val="20"/>
          <w:lang w:val="bg-BG"/>
        </w:rPr>
        <w:tab/>
      </w:r>
      <w:r w:rsidRPr="00C42942">
        <w:rPr>
          <w:rFonts w:ascii="Verdana" w:eastAsia="Calibri" w:hAnsi="Verdana" w:cs="Times New Roman"/>
          <w:sz w:val="20"/>
          <w:szCs w:val="20"/>
          <w:lang w:val="bg-BG"/>
        </w:rPr>
        <w:tab/>
      </w:r>
      <w:r w:rsidRPr="00C42942">
        <w:rPr>
          <w:rFonts w:ascii="Verdana" w:eastAsia="Calibri" w:hAnsi="Verdana" w:cs="Times New Roman"/>
          <w:sz w:val="20"/>
          <w:szCs w:val="20"/>
          <w:lang w:val="bg-BG"/>
        </w:rPr>
        <w:tab/>
      </w:r>
      <w:r w:rsidRPr="00C42942">
        <w:rPr>
          <w:rFonts w:ascii="Verdana" w:eastAsia="Calibri" w:hAnsi="Verdana" w:cs="Times New Roman"/>
          <w:sz w:val="20"/>
          <w:szCs w:val="20"/>
          <w:lang w:val="bg-BG"/>
        </w:rPr>
        <w:tab/>
      </w:r>
      <w:r w:rsidRPr="00C42942">
        <w:rPr>
          <w:rFonts w:ascii="Verdana" w:eastAsia="Calibri" w:hAnsi="Verdana" w:cs="Times New Roman"/>
          <w:sz w:val="20"/>
          <w:szCs w:val="20"/>
          <w:lang w:val="bg-BG"/>
        </w:rPr>
        <w:tab/>
        <w:t xml:space="preserve">  </w:t>
      </w:r>
      <w:r w:rsidRPr="00C42942">
        <w:rPr>
          <w:rFonts w:ascii="Verdana" w:eastAsia="Calibri" w:hAnsi="Verdana" w:cs="Times New Roman"/>
          <w:b/>
          <w:sz w:val="20"/>
          <w:szCs w:val="20"/>
          <w:lang w:val="bg-BG"/>
        </w:rPr>
        <w:t>2017 година</w:t>
      </w:r>
      <w:r w:rsidRPr="00C42942">
        <w:rPr>
          <w:rFonts w:ascii="Verdana" w:eastAsia="Calibri" w:hAnsi="Verdana" w:cs="Times New Roman"/>
          <w:sz w:val="20"/>
          <w:szCs w:val="20"/>
          <w:lang w:val="bg-BG"/>
        </w:rPr>
        <w:tab/>
      </w:r>
    </w:p>
    <w:p w:rsidR="00193AF1" w:rsidRPr="00C42942" w:rsidRDefault="00193AF1" w:rsidP="00193AF1">
      <w:pPr>
        <w:spacing w:after="0"/>
        <w:rPr>
          <w:rFonts w:ascii="Verdana" w:eastAsia="Calibri" w:hAnsi="Verdana" w:cs="Times New Roman"/>
          <w:b/>
          <w:i/>
          <w:sz w:val="18"/>
          <w:szCs w:val="18"/>
          <w:lang w:val="bg-BG"/>
        </w:rPr>
      </w:pPr>
    </w:p>
    <w:p w:rsidR="00193AF1" w:rsidRPr="00C42942" w:rsidRDefault="00193AF1" w:rsidP="00193AF1">
      <w:pPr>
        <w:spacing w:after="0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b/>
          <w:i/>
          <w:sz w:val="18"/>
          <w:szCs w:val="18"/>
          <w:lang w:val="bg-BG"/>
        </w:rPr>
        <w:t>Източник:</w:t>
      </w:r>
      <w:r w:rsidRPr="00C42942">
        <w:rPr>
          <w:rFonts w:ascii="Verdana" w:eastAsia="Calibri" w:hAnsi="Verdana" w:cs="Times New Roman"/>
          <w:i/>
          <w:sz w:val="18"/>
          <w:szCs w:val="18"/>
          <w:lang w:val="bg-BG"/>
        </w:rPr>
        <w:t xml:space="preserve"> „</w:t>
      </w:r>
      <w:proofErr w:type="spellStart"/>
      <w:r w:rsidRPr="00C42942">
        <w:rPr>
          <w:rFonts w:ascii="Verdana" w:eastAsia="Calibri" w:hAnsi="Verdana" w:cs="Times New Roman"/>
          <w:i/>
          <w:sz w:val="18"/>
          <w:szCs w:val="18"/>
          <w:lang w:val="bg-BG"/>
        </w:rPr>
        <w:t>Первого</w:t>
      </w:r>
      <w:proofErr w:type="spellEnd"/>
      <w:r w:rsidRPr="00C42942">
        <w:rPr>
          <w:rFonts w:ascii="Verdana" w:eastAsia="Calibri" w:hAnsi="Verdana" w:cs="Times New Roman"/>
          <w:i/>
          <w:sz w:val="18"/>
          <w:szCs w:val="18"/>
          <w:lang w:val="bg-BG"/>
        </w:rPr>
        <w:t xml:space="preserve"> </w:t>
      </w:r>
      <w:proofErr w:type="spellStart"/>
      <w:r w:rsidRPr="00C42942">
        <w:rPr>
          <w:rFonts w:ascii="Verdana" w:eastAsia="Calibri" w:hAnsi="Verdana" w:cs="Times New Roman"/>
          <w:i/>
          <w:sz w:val="18"/>
          <w:szCs w:val="18"/>
          <w:lang w:val="bg-BG"/>
        </w:rPr>
        <w:t>независимого</w:t>
      </w:r>
      <w:proofErr w:type="spellEnd"/>
      <w:r w:rsidRPr="00C42942">
        <w:rPr>
          <w:rFonts w:ascii="Verdana" w:eastAsia="Calibri" w:hAnsi="Verdana" w:cs="Times New Roman"/>
          <w:i/>
          <w:sz w:val="18"/>
          <w:szCs w:val="18"/>
          <w:lang w:val="bg-BG"/>
        </w:rPr>
        <w:t xml:space="preserve"> </w:t>
      </w:r>
      <w:proofErr w:type="spellStart"/>
      <w:r w:rsidRPr="00C42942">
        <w:rPr>
          <w:rFonts w:ascii="Verdana" w:eastAsia="Calibri" w:hAnsi="Verdana" w:cs="Times New Roman"/>
          <w:i/>
          <w:sz w:val="18"/>
          <w:szCs w:val="18"/>
          <w:lang w:val="bg-BG"/>
        </w:rPr>
        <w:t>рейтингового</w:t>
      </w:r>
      <w:proofErr w:type="spellEnd"/>
      <w:r w:rsidRPr="00C42942">
        <w:rPr>
          <w:rFonts w:ascii="Verdana" w:eastAsia="Calibri" w:hAnsi="Verdana" w:cs="Times New Roman"/>
          <w:i/>
          <w:sz w:val="18"/>
          <w:szCs w:val="18"/>
          <w:lang w:val="bg-BG"/>
        </w:rPr>
        <w:t xml:space="preserve"> агентства“</w:t>
      </w: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sz w:val="20"/>
          <w:szCs w:val="20"/>
          <w:lang w:val="bg-BG"/>
        </w:rPr>
        <w:t>През 2017 г. делът на вноса на кондензирано мляко от Нова Зеландия възлиза на 4% в реално изражение, спрямо 0,3% през 2016 г.: през първите 8 месеца на 2017 г. от страната са внесени близо 4 хиляди тона кондензирано мляко, въпреки че по-рано обемите рядко са надвишавали 500 тона.</w:t>
      </w: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sz w:val="20"/>
          <w:szCs w:val="20"/>
          <w:lang w:val="bg-BG"/>
        </w:rPr>
        <w:t>Друг основен доставчик на този пазар през 2017 г. става Иран, който е увеличил обемът на вноса от 260 тона през 2016 г. до 1962 тона за 8 месеца 2017 г.</w:t>
      </w: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sz w:val="20"/>
          <w:szCs w:val="20"/>
          <w:lang w:val="bg-BG"/>
        </w:rPr>
        <w:t>Също така е нараснал делът на Турция – до 6% в реално изражение за периода януари–август 2017 г. (ръст от 42% в сравнение със същия период на 2016 г.).</w:t>
      </w: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sz w:val="20"/>
          <w:szCs w:val="20"/>
          <w:lang w:val="bg-BG"/>
        </w:rPr>
        <w:t>Доставките от Уругвай са се увеличили с 45%, при това делът на страната в общия обем на вноса на кондензирано мляко възлиза на 4%. Аржентина, напротив, почти два пъти е намалила доставките на кондензирано мляко в Русия – от 6 до 3%.</w:t>
      </w: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sz w:val="20"/>
          <w:szCs w:val="20"/>
          <w:lang w:val="bg-BG"/>
        </w:rPr>
        <w:t>През 2017 г. кондензирано мляко в Русия са внасяли Швейцария, Киргизстан, Армения, Казахстан, Коста Рика и Молдова.</w:t>
      </w: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sz w:val="20"/>
          <w:szCs w:val="20"/>
          <w:lang w:val="bg-BG"/>
        </w:rPr>
        <w:t>През последните 6 години, потребителските цени на кондензираното мляко са нараснали с 72,4%. Най-голям ръст е регистриран през 2015 г. – 24,7%. За първите 9 месеца на 2017 година цените са се увеличили с 3,8%, а средната цена на кондензирано мляко на рафтовете на руските магазини е 78,4 рубли.</w:t>
      </w: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193AF1" w:rsidRPr="00C42942" w:rsidRDefault="00193AF1" w:rsidP="00193AF1">
      <w:pPr>
        <w:spacing w:after="0"/>
        <w:ind w:firstLine="708"/>
        <w:jc w:val="center"/>
        <w:rPr>
          <w:rFonts w:ascii="Verdana" w:eastAsia="Calibri" w:hAnsi="Verdana" w:cs="Times New Roman"/>
          <w:b/>
          <w:i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b/>
          <w:i/>
          <w:sz w:val="20"/>
          <w:szCs w:val="20"/>
          <w:lang w:val="bg-BG"/>
        </w:rPr>
        <w:t>Динамика на цената на дребно на кондензираното мляко за периода</w:t>
      </w:r>
    </w:p>
    <w:p w:rsidR="00193AF1" w:rsidRPr="00C42942" w:rsidRDefault="00193AF1" w:rsidP="00193AF1">
      <w:pPr>
        <w:spacing w:after="0"/>
        <w:ind w:firstLine="708"/>
        <w:jc w:val="center"/>
        <w:rPr>
          <w:rFonts w:ascii="Verdana" w:eastAsia="Calibri" w:hAnsi="Verdana" w:cs="Times New Roman"/>
          <w:b/>
          <w:i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b/>
          <w:i/>
          <w:sz w:val="20"/>
          <w:szCs w:val="20"/>
          <w:lang w:val="bg-BG"/>
        </w:rPr>
        <w:t xml:space="preserve"> 2012-2017 г. – </w:t>
      </w:r>
      <w:proofErr w:type="spellStart"/>
      <w:r w:rsidRPr="00C42942">
        <w:rPr>
          <w:rFonts w:ascii="Verdana" w:eastAsia="Calibri" w:hAnsi="Verdana" w:cs="Times New Roman"/>
          <w:b/>
          <w:i/>
          <w:sz w:val="20"/>
          <w:szCs w:val="20"/>
          <w:lang w:val="bg-BG"/>
        </w:rPr>
        <w:t>руб</w:t>
      </w:r>
      <w:proofErr w:type="spellEnd"/>
      <w:r w:rsidRPr="00C42942">
        <w:rPr>
          <w:rFonts w:ascii="Verdana" w:eastAsia="Calibri" w:hAnsi="Verdana" w:cs="Times New Roman"/>
          <w:b/>
          <w:i/>
          <w:sz w:val="20"/>
          <w:szCs w:val="20"/>
          <w:lang w:val="bg-BG"/>
        </w:rPr>
        <w:t>./</w:t>
      </w:r>
      <w:proofErr w:type="spellStart"/>
      <w:r w:rsidRPr="00C42942">
        <w:rPr>
          <w:rFonts w:ascii="Verdana" w:eastAsia="Calibri" w:hAnsi="Verdana" w:cs="Times New Roman"/>
          <w:b/>
          <w:i/>
          <w:sz w:val="20"/>
          <w:szCs w:val="20"/>
          <w:lang w:val="bg-BG"/>
        </w:rPr>
        <w:t>усл</w:t>
      </w:r>
      <w:proofErr w:type="spellEnd"/>
      <w:r w:rsidRPr="00C42942">
        <w:rPr>
          <w:rFonts w:ascii="Verdana" w:eastAsia="Calibri" w:hAnsi="Verdana" w:cs="Times New Roman"/>
          <w:b/>
          <w:i/>
          <w:sz w:val="20"/>
          <w:szCs w:val="20"/>
          <w:lang w:val="bg-BG"/>
        </w:rPr>
        <w:t>. кутия</w:t>
      </w:r>
    </w:p>
    <w:p w:rsidR="00193AF1" w:rsidRPr="00C42942" w:rsidRDefault="00193AF1" w:rsidP="00193AF1">
      <w:pPr>
        <w:spacing w:after="0"/>
        <w:jc w:val="center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E69E8E9" wp14:editId="20190EBC">
            <wp:extent cx="4508500" cy="2393950"/>
            <wp:effectExtent l="0" t="0" r="635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3AF1" w:rsidRPr="00C42942" w:rsidRDefault="00193AF1" w:rsidP="00193AF1">
      <w:pPr>
        <w:spacing w:after="0"/>
        <w:rPr>
          <w:rFonts w:ascii="Verdana" w:eastAsia="Calibri" w:hAnsi="Verdana" w:cs="Times New Roman"/>
          <w:i/>
          <w:sz w:val="18"/>
          <w:szCs w:val="18"/>
          <w:lang w:val="bg-BG"/>
        </w:rPr>
      </w:pPr>
      <w:r w:rsidRPr="00C42942">
        <w:rPr>
          <w:rFonts w:ascii="Verdana" w:eastAsia="Calibri" w:hAnsi="Verdana" w:cs="Times New Roman"/>
          <w:b/>
          <w:i/>
          <w:sz w:val="18"/>
          <w:szCs w:val="18"/>
          <w:lang w:val="bg-BG"/>
        </w:rPr>
        <w:t>Източник:</w:t>
      </w:r>
      <w:r w:rsidRPr="00C42942">
        <w:rPr>
          <w:rFonts w:ascii="Verdana" w:eastAsia="Calibri" w:hAnsi="Verdana" w:cs="Times New Roman"/>
          <w:i/>
          <w:sz w:val="18"/>
          <w:szCs w:val="18"/>
          <w:lang w:val="bg-BG"/>
        </w:rPr>
        <w:t xml:space="preserve"> </w:t>
      </w:r>
      <w:proofErr w:type="spellStart"/>
      <w:r w:rsidRPr="00C42942">
        <w:rPr>
          <w:rFonts w:ascii="Verdana" w:eastAsia="Calibri" w:hAnsi="Verdana" w:cs="Times New Roman"/>
          <w:i/>
          <w:sz w:val="18"/>
          <w:szCs w:val="18"/>
          <w:lang w:val="bg-BG"/>
        </w:rPr>
        <w:t>Росстат</w:t>
      </w:r>
      <w:proofErr w:type="spellEnd"/>
    </w:p>
    <w:p w:rsidR="00193AF1" w:rsidRPr="00C42942" w:rsidRDefault="00193AF1" w:rsidP="00193AF1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sz w:val="20"/>
          <w:szCs w:val="20"/>
          <w:lang w:val="bg-BG"/>
        </w:rPr>
        <w:t>Увеличаването на суровинната база в средносрочен план ще се отрази положително на динамиката на производството на млечни продукти.</w:t>
      </w:r>
    </w:p>
    <w:p w:rsidR="00193AF1" w:rsidRPr="00C42942" w:rsidRDefault="00193AF1" w:rsidP="00193AF1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42942">
        <w:rPr>
          <w:rFonts w:ascii="Verdana" w:eastAsia="Calibri" w:hAnsi="Verdana" w:cs="Times New Roman"/>
          <w:sz w:val="20"/>
          <w:szCs w:val="20"/>
          <w:lang w:val="bg-BG"/>
        </w:rPr>
        <w:t>По оценка на специалистите на "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Евентус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proofErr w:type="spellStart"/>
      <w:r w:rsidRPr="00C42942">
        <w:rPr>
          <w:rFonts w:ascii="Verdana" w:eastAsia="Calibri" w:hAnsi="Verdana" w:cs="Times New Roman"/>
          <w:sz w:val="20"/>
          <w:szCs w:val="20"/>
          <w:lang w:val="bg-BG"/>
        </w:rPr>
        <w:t>консултинг</w:t>
      </w:r>
      <w:proofErr w:type="spellEnd"/>
      <w:r w:rsidRPr="00C42942">
        <w:rPr>
          <w:rFonts w:ascii="Verdana" w:eastAsia="Calibri" w:hAnsi="Verdana" w:cs="Times New Roman"/>
          <w:sz w:val="20"/>
          <w:szCs w:val="20"/>
          <w:lang w:val="bg-BG"/>
        </w:rPr>
        <w:t>", динамиката на пазара в следващите години ще има възходящ характер, и през 2018-2019 г. ще достигне стойностите, които са били в периода преди кризата. Очаква се обемът на пазара през 2019 г. да възлезе на 485 хил. тона спрямо 478 хиляди тона през 2017 година.</w:t>
      </w:r>
    </w:p>
    <w:p w:rsidR="00193AF1" w:rsidRPr="00C42942" w:rsidRDefault="00193AF1" w:rsidP="00193AF1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DD59DA" w:rsidRDefault="00193AF1" w:rsidP="00193AF1">
      <w:hyperlink r:id="rId10" w:history="1">
        <w:r w:rsidRPr="00C42942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bg-BG"/>
          </w:rPr>
          <w:t>http://www.foodmarket.spb.ru/</w:t>
        </w:r>
      </w:hyperlink>
      <w:bookmarkStart w:id="0" w:name="_GoBack"/>
      <w:bookmarkEnd w:id="0"/>
    </w:p>
    <w:sectPr w:rsidR="00DD59DA" w:rsidSect="00193AF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F1"/>
    <w:rsid w:val="00193AF1"/>
    <w:rsid w:val="00DA08AF"/>
    <w:rsid w:val="00DD59DA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oodmarket.spb.ru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януари-септември 2016</c:v>
                </c:pt>
                <c:pt idx="6">
                  <c:v>януари-септември 2017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482</c:v>
                </c:pt>
                <c:pt idx="1">
                  <c:v>535</c:v>
                </c:pt>
                <c:pt idx="2">
                  <c:v>483</c:v>
                </c:pt>
                <c:pt idx="3">
                  <c:v>451</c:v>
                </c:pt>
                <c:pt idx="4">
                  <c:v>472</c:v>
                </c:pt>
                <c:pt idx="5">
                  <c:v>343</c:v>
                </c:pt>
                <c:pt idx="6">
                  <c:v>348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854912"/>
        <c:axId val="134856704"/>
        <c:axId val="0"/>
      </c:bar3DChart>
      <c:catAx>
        <c:axId val="134854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856704"/>
        <c:crosses val="autoZero"/>
        <c:auto val="1"/>
        <c:lblAlgn val="ctr"/>
        <c:lblOffset val="100"/>
        <c:noMultiLvlLbl val="0"/>
      </c:catAx>
      <c:valAx>
        <c:axId val="13485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854912"/>
        <c:crosses val="autoZero"/>
        <c:crossBetween val="between"/>
      </c:valAx>
    </c:plotArea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188226471691029E-2"/>
          <c:y val="0.10615102460018584"/>
          <c:w val="0.57241296760981797"/>
          <c:h val="0.823464077859832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8486186532717894"/>
                  <c:y val="-0.242049689440993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-0.11689903232938215"/>
                  <c:y val="0.177336039516799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-0.15694614037176238"/>
                  <c:y val="0.110599109893871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-0.21421931599802724"/>
                  <c:y val="6.9307477869614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-0.1132371898437101"/>
                  <c:y val="1.5527950310559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5"/>
              <c:layout>
                <c:manualLayout>
                  <c:x val="8.9319805173607034E-2"/>
                  <c:y val="1.2422360248447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dLbl>
              <c:idx val="6"/>
              <c:layout>
                <c:manualLayout>
                  <c:x val="-8.0406367114558442E-3"/>
                  <c:y val="-2.3292414535139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</c:dLbl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Белорус 83%</c:v>
                </c:pt>
                <c:pt idx="1">
                  <c:v>Аржентина 6%</c:v>
                </c:pt>
                <c:pt idx="2">
                  <c:v>Турция 5%</c:v>
                </c:pt>
                <c:pt idx="3">
                  <c:v>Уругвай 2%</c:v>
                </c:pt>
                <c:pt idx="4">
                  <c:v>Швейцария 2%</c:v>
                </c:pt>
                <c:pt idx="5">
                  <c:v>Нова Зенландия 1%</c:v>
                </c:pt>
                <c:pt idx="6">
                  <c:v>Молдова 1%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0.83</c:v>
                </c:pt>
                <c:pt idx="1">
                  <c:v>0.06</c:v>
                </c:pt>
                <c:pt idx="2">
                  <c:v>0.05</c:v>
                </c:pt>
                <c:pt idx="3">
                  <c:v>0.02</c:v>
                </c:pt>
                <c:pt idx="4">
                  <c:v>0.02</c:v>
                </c:pt>
                <c:pt idx="5">
                  <c:v>0.01</c:v>
                </c:pt>
                <c:pt idx="6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741455394998701"/>
          <c:y val="0.11931530297843204"/>
          <c:w val="0.3345845230884601"/>
          <c:h val="0.73370078740157485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378241181390791E-2"/>
          <c:y val="9.6064756611305924E-2"/>
          <c:w val="0.50743185947910352"/>
          <c:h val="0.864592514171022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4386384568485777"/>
                  <c:y val="-0.2464341957255343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7712773547458135E-3"/>
                  <c:y val="2.53393325834270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633423705068167E-2"/>
                  <c:y val="1.576391186395818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911440023868516E-2"/>
                  <c:y val="3.262092238470191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390366978427533E-2"/>
                  <c:y val="-2.581883146959571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3504131588164326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Лист1!$A$2:$A$9</c:f>
              <c:strCache>
                <c:ptCount val="8"/>
                <c:pt idx="0">
                  <c:v>Белорус 79%</c:v>
                </c:pt>
                <c:pt idx="1">
                  <c:v>Турция 6%</c:v>
                </c:pt>
                <c:pt idx="2">
                  <c:v>Нова Зенландия 4%</c:v>
                </c:pt>
                <c:pt idx="3">
                  <c:v>Уругвай 4%</c:v>
                </c:pt>
                <c:pt idx="4">
                  <c:v>Аржентина 3%</c:v>
                </c:pt>
                <c:pt idx="5">
                  <c:v>Иран 2%</c:v>
                </c:pt>
                <c:pt idx="6">
                  <c:v>Швейцария 1%</c:v>
                </c:pt>
                <c:pt idx="7">
                  <c:v>Киргизия 1%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0.79</c:v>
                </c:pt>
                <c:pt idx="1">
                  <c:v>0.06</c:v>
                </c:pt>
                <c:pt idx="2">
                  <c:v>0.04</c:v>
                </c:pt>
                <c:pt idx="3">
                  <c:v>0.04</c:v>
                </c:pt>
                <c:pt idx="4">
                  <c:v>0.03</c:v>
                </c:pt>
                <c:pt idx="5">
                  <c:v>0.02</c:v>
                </c:pt>
                <c:pt idx="6">
                  <c:v>0.01</c:v>
                </c:pt>
                <c:pt idx="7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800561388159802"/>
          <c:y val="0.10912510936132984"/>
          <c:w val="0.3345845230884601"/>
          <c:h val="0.75630781446436834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45.5</c:v>
                </c:pt>
                <c:pt idx="1">
                  <c:v>49</c:v>
                </c:pt>
                <c:pt idx="2">
                  <c:v>55.5</c:v>
                </c:pt>
                <c:pt idx="3">
                  <c:v>69.2</c:v>
                </c:pt>
                <c:pt idx="4">
                  <c:v>75.5</c:v>
                </c:pt>
                <c:pt idx="5">
                  <c:v>78.400000000000006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1727232"/>
        <c:axId val="161728768"/>
        <c:axId val="99470400"/>
      </c:bar3DChart>
      <c:catAx>
        <c:axId val="161727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728768"/>
        <c:crosses val="autoZero"/>
        <c:auto val="1"/>
        <c:lblAlgn val="ctr"/>
        <c:lblOffset val="100"/>
        <c:noMultiLvlLbl val="0"/>
      </c:catAx>
      <c:valAx>
        <c:axId val="161728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727232"/>
        <c:crosses val="autoZero"/>
        <c:crossBetween val="between"/>
      </c:valAx>
      <c:serAx>
        <c:axId val="99470400"/>
        <c:scaling>
          <c:orientation val="minMax"/>
        </c:scaling>
        <c:delete val="1"/>
        <c:axPos val="b"/>
        <c:majorTickMark val="out"/>
        <c:minorTickMark val="none"/>
        <c:tickLblPos val="nextTo"/>
        <c:crossAx val="161728768"/>
        <c:crosses val="autoZero"/>
      </c:serAx>
    </c:plotArea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2018-06-27T08:01:00Z</dcterms:created>
  <dcterms:modified xsi:type="dcterms:W3CDTF">2018-06-27T08:02:00Z</dcterms:modified>
</cp:coreProperties>
</file>