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C3C" w:rsidRPr="00AD4E3A" w:rsidRDefault="00A32C3C" w:rsidP="00A32C3C">
      <w:pPr>
        <w:spacing w:after="0"/>
        <w:jc w:val="center"/>
        <w:rPr>
          <w:rFonts w:ascii="Verdana" w:eastAsia="Calibri" w:hAnsi="Verdana" w:cs="Times New Roman"/>
          <w:b/>
          <w:sz w:val="20"/>
          <w:szCs w:val="20"/>
          <w:lang w:val="bg-BG"/>
        </w:rPr>
      </w:pPr>
      <w:r w:rsidRPr="00AD4E3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B380EE1" wp14:editId="609FCA0B">
            <wp:simplePos x="0" y="0"/>
            <wp:positionH relativeFrom="column">
              <wp:posOffset>170815</wp:posOffset>
            </wp:positionH>
            <wp:positionV relativeFrom="paragraph">
              <wp:posOffset>3175</wp:posOffset>
            </wp:positionV>
            <wp:extent cx="2406650" cy="1774825"/>
            <wp:effectExtent l="0" t="0" r="0" b="0"/>
            <wp:wrapSquare wrapText="bothSides"/>
            <wp:docPr id="1" name="Рисунок 1" descr="Ð ÐµÐ·ÑÐ»ÑÐ°Ñ Ñ Ð¸Ð·Ð¾Ð±ÑÐ°Ð¶ÐµÐ½Ð¸Ðµ Ð·Ð° ÐºÐ°ÑÑÐ¸Ð½ÐºÐ¸ Ð¼ÑÑ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 ÐµÐ·ÑÐ»ÑÐ°Ñ Ñ Ð¸Ð·Ð¾Ð±ÑÐ°Ð¶ÐµÐ½Ð¸Ðµ Ð·Ð° ÐºÐ°ÑÑÐ¸Ð½ÐºÐ¸ Ð¼ÑÑÐ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E3A">
        <w:rPr>
          <w:rFonts w:ascii="Verdana" w:eastAsia="Calibri" w:hAnsi="Verdana" w:cs="Times New Roman"/>
          <w:b/>
          <w:sz w:val="20"/>
          <w:szCs w:val="20"/>
          <w:lang w:val="bg-BG"/>
        </w:rPr>
        <w:t xml:space="preserve">ПРОИЗВОДСТВОТО В РУСИЯ НА ОСНОВНИ ВИДОВЕ МЕСО В КРАЯ НА ПЪРВОТО ТРИМЕСЕЧИЕ НА 2018 г. </w:t>
      </w:r>
    </w:p>
    <w:p w:rsidR="00A32C3C" w:rsidRPr="00AD4E3A" w:rsidRDefault="00A32C3C" w:rsidP="00A32C3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</w:p>
    <w:p w:rsidR="00A32C3C" w:rsidRPr="00AD4E3A" w:rsidRDefault="00A32C3C" w:rsidP="00A32C3C">
      <w:pPr>
        <w:spacing w:after="0"/>
        <w:jc w:val="both"/>
        <w:rPr>
          <w:rFonts w:ascii="Verdana" w:eastAsia="Calibri" w:hAnsi="Verdana" w:cs="Times New Roman"/>
          <w:b/>
          <w:sz w:val="20"/>
          <w:szCs w:val="20"/>
          <w:lang w:val="bg-BG"/>
        </w:rPr>
      </w:pPr>
      <w:r w:rsidRPr="00AD4E3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A14A8C6" wp14:editId="259B83E1">
            <wp:simplePos x="0" y="0"/>
            <wp:positionH relativeFrom="column">
              <wp:posOffset>-6350</wp:posOffset>
            </wp:positionH>
            <wp:positionV relativeFrom="paragraph">
              <wp:posOffset>34925</wp:posOffset>
            </wp:positionV>
            <wp:extent cx="533400" cy="471170"/>
            <wp:effectExtent l="0" t="0" r="0" b="5080"/>
            <wp:wrapSquare wrapText="bothSides"/>
            <wp:docPr id="2" name="Рисунок 2" descr="ÐÐ°ÑÑÐ¸Ð½ÐºÐ¸ Ð¿Ð¾ Ð·Ð°Ð¿ÑÐ¾ÑÑ ÐºÐ°ÑÑÐ¸Ð½ÐºÐ° Ð³Ð¾Ð²ÐµÐ´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° Ð³Ð¾Ð²ÐµÐ´Ð¾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22835" b="81890" l="20468" r="6988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3" t="22310" r="29045" b="17848"/>
                    <a:stretch/>
                  </pic:blipFill>
                  <pic:spPr bwMode="auto">
                    <a:xfrm>
                      <a:off x="0" y="0"/>
                      <a:ext cx="533400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E3A">
        <w:rPr>
          <w:rFonts w:ascii="Verdana" w:eastAsia="Calibri" w:hAnsi="Verdana" w:cs="Times New Roman"/>
          <w:b/>
          <w:sz w:val="20"/>
          <w:szCs w:val="20"/>
          <w:lang w:val="bg-BG"/>
        </w:rPr>
        <w:t>Производството на говеждо</w:t>
      </w:r>
      <w:r w:rsidRPr="00AD4E3A">
        <w:rPr>
          <w:rFonts w:ascii="Verdana" w:eastAsia="Calibri" w:hAnsi="Verdana" w:cs="Times New Roman"/>
          <w:sz w:val="20"/>
          <w:szCs w:val="20"/>
          <w:lang w:val="bg-BG"/>
        </w:rPr>
        <w:t xml:space="preserve"> </w:t>
      </w:r>
      <w:r w:rsidRPr="00AD4E3A">
        <w:rPr>
          <w:rFonts w:ascii="Verdana" w:eastAsia="Calibri" w:hAnsi="Verdana" w:cs="Times New Roman"/>
          <w:b/>
          <w:sz w:val="20"/>
          <w:szCs w:val="20"/>
          <w:lang w:val="bg-BG"/>
        </w:rPr>
        <w:t>месо</w:t>
      </w:r>
      <w:r w:rsidRPr="00AD4E3A">
        <w:rPr>
          <w:rFonts w:ascii="Verdana" w:eastAsia="Calibri" w:hAnsi="Verdana" w:cs="Times New Roman"/>
          <w:sz w:val="20"/>
          <w:szCs w:val="20"/>
          <w:lang w:val="bg-BG"/>
        </w:rPr>
        <w:t xml:space="preserve"> в стоковия сектор на първото тримесечие на 2018 г. е в размер на 129,8 хил.т. в кланично тегло, което е с 4.4% повече от същия период на 2017 г.. През март обемът на производство възлиза на 45.7 хил.т., което е с 3.7% повече от същия период през 2017 г. Ръст на производството през март спрямо март 2017 г. бележат следните региони: Република Татарстан (+11%), </w:t>
      </w:r>
      <w:proofErr w:type="spellStart"/>
      <w:r w:rsidRPr="00AD4E3A">
        <w:rPr>
          <w:rFonts w:ascii="Verdana" w:eastAsia="Calibri" w:hAnsi="Verdana" w:cs="Times New Roman"/>
          <w:sz w:val="20"/>
          <w:szCs w:val="20"/>
          <w:lang w:val="bg-BG"/>
        </w:rPr>
        <w:t>Краснодарски</w:t>
      </w:r>
      <w:proofErr w:type="spellEnd"/>
      <w:r w:rsidRPr="00AD4E3A">
        <w:rPr>
          <w:rFonts w:ascii="Verdana" w:eastAsia="Calibri" w:hAnsi="Verdana" w:cs="Times New Roman"/>
          <w:sz w:val="20"/>
          <w:szCs w:val="20"/>
          <w:lang w:val="bg-BG"/>
        </w:rPr>
        <w:t xml:space="preserve"> край (+7,9%), </w:t>
      </w:r>
      <w:proofErr w:type="spellStart"/>
      <w:r w:rsidRPr="00AD4E3A">
        <w:rPr>
          <w:rFonts w:ascii="Verdana" w:eastAsia="Calibri" w:hAnsi="Verdana" w:cs="Times New Roman"/>
          <w:sz w:val="20"/>
          <w:szCs w:val="20"/>
          <w:lang w:val="bg-BG"/>
        </w:rPr>
        <w:t>Воронежска</w:t>
      </w:r>
      <w:proofErr w:type="spellEnd"/>
      <w:r w:rsidRPr="00AD4E3A">
        <w:rPr>
          <w:rFonts w:ascii="Verdana" w:eastAsia="Calibri" w:hAnsi="Verdana" w:cs="Times New Roman"/>
          <w:sz w:val="20"/>
          <w:szCs w:val="20"/>
          <w:lang w:val="bg-BG"/>
        </w:rPr>
        <w:t xml:space="preserve"> област (+6,7%), </w:t>
      </w:r>
      <w:proofErr w:type="spellStart"/>
      <w:r w:rsidRPr="00AD4E3A">
        <w:rPr>
          <w:rFonts w:ascii="Verdana" w:eastAsia="Calibri" w:hAnsi="Verdana" w:cs="Times New Roman"/>
          <w:sz w:val="20"/>
          <w:szCs w:val="20"/>
          <w:lang w:val="bg-BG"/>
        </w:rPr>
        <w:t>Брянска</w:t>
      </w:r>
      <w:proofErr w:type="spellEnd"/>
      <w:r w:rsidRPr="00AD4E3A">
        <w:rPr>
          <w:rFonts w:ascii="Verdana" w:eastAsia="Calibri" w:hAnsi="Verdana" w:cs="Times New Roman"/>
          <w:sz w:val="20"/>
          <w:szCs w:val="20"/>
          <w:lang w:val="bg-BG"/>
        </w:rPr>
        <w:t xml:space="preserve"> област (+29,8%), Новосибирска област (+19,1%), Република Башкортостан (+9,7%), Република </w:t>
      </w:r>
      <w:proofErr w:type="spellStart"/>
      <w:r w:rsidRPr="00AD4E3A">
        <w:rPr>
          <w:rFonts w:ascii="Verdana" w:eastAsia="Calibri" w:hAnsi="Verdana" w:cs="Times New Roman"/>
          <w:sz w:val="20"/>
          <w:szCs w:val="20"/>
          <w:lang w:val="bg-BG"/>
        </w:rPr>
        <w:t>Удмурдия</w:t>
      </w:r>
      <w:proofErr w:type="spellEnd"/>
      <w:r w:rsidRPr="00AD4E3A">
        <w:rPr>
          <w:rFonts w:ascii="Verdana" w:eastAsia="Calibri" w:hAnsi="Verdana" w:cs="Times New Roman"/>
          <w:sz w:val="20"/>
          <w:szCs w:val="20"/>
          <w:lang w:val="bg-BG"/>
        </w:rPr>
        <w:t xml:space="preserve"> (+1.2%), </w:t>
      </w:r>
      <w:proofErr w:type="spellStart"/>
      <w:r w:rsidRPr="00AD4E3A">
        <w:rPr>
          <w:rFonts w:ascii="Verdana" w:eastAsia="Calibri" w:hAnsi="Verdana" w:cs="Times New Roman"/>
          <w:sz w:val="20"/>
          <w:szCs w:val="20"/>
          <w:lang w:val="bg-BG"/>
        </w:rPr>
        <w:t>Кировска</w:t>
      </w:r>
      <w:proofErr w:type="spellEnd"/>
      <w:r w:rsidRPr="00AD4E3A">
        <w:rPr>
          <w:rFonts w:ascii="Verdana" w:eastAsia="Calibri" w:hAnsi="Verdana" w:cs="Times New Roman"/>
          <w:sz w:val="20"/>
          <w:szCs w:val="20"/>
          <w:lang w:val="bg-BG"/>
        </w:rPr>
        <w:t xml:space="preserve"> област (+5,8%), Московска област (+17,6%), </w:t>
      </w:r>
      <w:proofErr w:type="spellStart"/>
      <w:r w:rsidRPr="00AD4E3A">
        <w:rPr>
          <w:rFonts w:ascii="Verdana" w:eastAsia="Calibri" w:hAnsi="Verdana" w:cs="Times New Roman"/>
          <w:sz w:val="20"/>
          <w:szCs w:val="20"/>
          <w:lang w:val="bg-BG"/>
        </w:rPr>
        <w:t>Омска</w:t>
      </w:r>
      <w:proofErr w:type="spellEnd"/>
      <w:r w:rsidRPr="00AD4E3A">
        <w:rPr>
          <w:rFonts w:ascii="Verdana" w:eastAsia="Calibri" w:hAnsi="Verdana" w:cs="Times New Roman"/>
          <w:sz w:val="20"/>
          <w:szCs w:val="20"/>
          <w:lang w:val="bg-BG"/>
        </w:rPr>
        <w:t xml:space="preserve"> област (+3,3%). Спад в производствените обеми има в </w:t>
      </w:r>
      <w:proofErr w:type="spellStart"/>
      <w:r w:rsidRPr="00AD4E3A">
        <w:rPr>
          <w:rFonts w:ascii="Verdana" w:eastAsia="Calibri" w:hAnsi="Verdana" w:cs="Times New Roman"/>
          <w:sz w:val="20"/>
          <w:szCs w:val="20"/>
          <w:lang w:val="bg-BG"/>
        </w:rPr>
        <w:t>Орловска</w:t>
      </w:r>
      <w:proofErr w:type="spellEnd"/>
      <w:r w:rsidRPr="00AD4E3A">
        <w:rPr>
          <w:rFonts w:ascii="Verdana" w:eastAsia="Calibri" w:hAnsi="Verdana" w:cs="Times New Roman"/>
          <w:sz w:val="20"/>
          <w:szCs w:val="20"/>
          <w:lang w:val="bg-BG"/>
        </w:rPr>
        <w:t xml:space="preserve"> област (-13.9%), Алтайски край (-3.4%), </w:t>
      </w:r>
      <w:proofErr w:type="spellStart"/>
      <w:r w:rsidRPr="00AD4E3A">
        <w:rPr>
          <w:rFonts w:ascii="Verdana" w:eastAsia="Calibri" w:hAnsi="Verdana" w:cs="Times New Roman"/>
          <w:sz w:val="20"/>
          <w:szCs w:val="20"/>
          <w:lang w:val="bg-BG"/>
        </w:rPr>
        <w:t>Красноярски</w:t>
      </w:r>
      <w:proofErr w:type="spellEnd"/>
      <w:r w:rsidRPr="00AD4E3A">
        <w:rPr>
          <w:rFonts w:ascii="Verdana" w:eastAsia="Calibri" w:hAnsi="Verdana" w:cs="Times New Roman"/>
          <w:sz w:val="20"/>
          <w:szCs w:val="20"/>
          <w:lang w:val="bg-BG"/>
        </w:rPr>
        <w:t xml:space="preserve"> край (-0.7%), Ленинградска област (-0.7%).</w:t>
      </w:r>
      <w:r w:rsidRPr="00AD4E3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74DB3FB" wp14:editId="7AFE8DAE">
            <wp:simplePos x="0" y="0"/>
            <wp:positionH relativeFrom="column">
              <wp:posOffset>18415</wp:posOffset>
            </wp:positionH>
            <wp:positionV relativeFrom="paragraph">
              <wp:posOffset>179070</wp:posOffset>
            </wp:positionV>
            <wp:extent cx="544830" cy="419100"/>
            <wp:effectExtent l="0" t="0" r="7620" b="0"/>
            <wp:wrapSquare wrapText="bothSides"/>
            <wp:docPr id="3" name="Рисунок 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7794" b="79715" l="13000" r="8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9" t="17062" r="10222" b="19905"/>
                    <a:stretch/>
                  </pic:blipFill>
                  <pic:spPr bwMode="auto">
                    <a:xfrm>
                      <a:off x="0" y="0"/>
                      <a:ext cx="54483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C3C" w:rsidRPr="00AD4E3A" w:rsidRDefault="00A32C3C" w:rsidP="00A32C3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  <w:r w:rsidRPr="00AD4E3A">
        <w:rPr>
          <w:rFonts w:ascii="Verdana" w:eastAsia="Calibri" w:hAnsi="Verdana" w:cs="Times New Roman"/>
          <w:b/>
          <w:sz w:val="20"/>
          <w:szCs w:val="20"/>
          <w:lang w:val="bg-BG"/>
        </w:rPr>
        <w:t>Производството на свинско месо</w:t>
      </w:r>
      <w:r w:rsidRPr="00AD4E3A">
        <w:rPr>
          <w:rFonts w:ascii="Verdana" w:eastAsia="Calibri" w:hAnsi="Verdana" w:cs="Times New Roman"/>
          <w:sz w:val="20"/>
          <w:szCs w:val="20"/>
          <w:lang w:val="bg-BG"/>
        </w:rPr>
        <w:t xml:space="preserve"> в селскостопанските организации през първото тримесечие на 2018 г. в кланичното тегло възлиза на 737 хил.т. През март ръста спрямо предходната година е бил +13,4% (спрямо март 2017 г.) и възлиза на 260,5 хил.т. Положителни резултати през март 2018 г. в сравнение със същия период през 2017 г. по обем на производство се наблюдава в: </w:t>
      </w:r>
      <w:proofErr w:type="spellStart"/>
      <w:r w:rsidRPr="00AD4E3A">
        <w:rPr>
          <w:rFonts w:ascii="Verdana" w:eastAsia="Calibri" w:hAnsi="Verdana" w:cs="Times New Roman"/>
          <w:sz w:val="20"/>
          <w:szCs w:val="20"/>
          <w:lang w:val="bg-BG"/>
        </w:rPr>
        <w:t>Белгород</w:t>
      </w:r>
      <w:proofErr w:type="spellEnd"/>
      <w:r w:rsidRPr="00AD4E3A">
        <w:rPr>
          <w:rFonts w:ascii="Verdana" w:eastAsia="Calibri" w:hAnsi="Verdana" w:cs="Times New Roman"/>
          <w:sz w:val="20"/>
          <w:szCs w:val="20"/>
          <w:lang w:val="bg-BG"/>
        </w:rPr>
        <w:t xml:space="preserve"> (+2,9%), </w:t>
      </w:r>
      <w:proofErr w:type="spellStart"/>
      <w:r w:rsidRPr="00AD4E3A">
        <w:rPr>
          <w:rFonts w:ascii="Verdana" w:eastAsia="Calibri" w:hAnsi="Verdana" w:cs="Times New Roman"/>
          <w:sz w:val="20"/>
          <w:szCs w:val="20"/>
          <w:lang w:val="bg-BG"/>
        </w:rPr>
        <w:t>Курск</w:t>
      </w:r>
      <w:proofErr w:type="spellEnd"/>
      <w:r w:rsidRPr="00AD4E3A">
        <w:rPr>
          <w:rFonts w:ascii="Verdana" w:eastAsia="Calibri" w:hAnsi="Verdana" w:cs="Times New Roman"/>
          <w:sz w:val="20"/>
          <w:szCs w:val="20"/>
          <w:lang w:val="bg-BG"/>
        </w:rPr>
        <w:t xml:space="preserve"> (+23,4%), Воронеж (+83,6%), Псков (+37,7%), </w:t>
      </w:r>
      <w:proofErr w:type="spellStart"/>
      <w:r w:rsidRPr="00AD4E3A">
        <w:rPr>
          <w:rFonts w:ascii="Verdana" w:eastAsia="Calibri" w:hAnsi="Verdana" w:cs="Times New Roman"/>
          <w:sz w:val="20"/>
          <w:szCs w:val="20"/>
          <w:lang w:val="bg-BG"/>
        </w:rPr>
        <w:t>Тамбов</w:t>
      </w:r>
      <w:proofErr w:type="spellEnd"/>
      <w:r w:rsidRPr="00AD4E3A">
        <w:rPr>
          <w:rFonts w:ascii="Verdana" w:eastAsia="Calibri" w:hAnsi="Verdana" w:cs="Times New Roman"/>
          <w:sz w:val="20"/>
          <w:szCs w:val="20"/>
          <w:lang w:val="bg-BG"/>
        </w:rPr>
        <w:t xml:space="preserve"> (+6.7%), </w:t>
      </w:r>
      <w:proofErr w:type="spellStart"/>
      <w:r w:rsidRPr="00AD4E3A">
        <w:rPr>
          <w:rFonts w:ascii="Verdana" w:eastAsia="Calibri" w:hAnsi="Verdana" w:cs="Times New Roman"/>
          <w:sz w:val="20"/>
          <w:szCs w:val="20"/>
          <w:lang w:val="bg-BG"/>
        </w:rPr>
        <w:t>Липецк</w:t>
      </w:r>
      <w:proofErr w:type="spellEnd"/>
      <w:r w:rsidRPr="00AD4E3A">
        <w:rPr>
          <w:rFonts w:ascii="Verdana" w:eastAsia="Calibri" w:hAnsi="Verdana" w:cs="Times New Roman"/>
          <w:sz w:val="20"/>
          <w:szCs w:val="20"/>
          <w:lang w:val="bg-BG"/>
        </w:rPr>
        <w:t xml:space="preserve"> (+26,6%), </w:t>
      </w:r>
      <w:proofErr w:type="spellStart"/>
      <w:r w:rsidRPr="00AD4E3A">
        <w:rPr>
          <w:rFonts w:ascii="Verdana" w:eastAsia="Calibri" w:hAnsi="Verdana" w:cs="Times New Roman"/>
          <w:sz w:val="20"/>
          <w:szCs w:val="20"/>
          <w:lang w:val="bg-BG"/>
        </w:rPr>
        <w:t>Твер</w:t>
      </w:r>
      <w:proofErr w:type="spellEnd"/>
      <w:r w:rsidRPr="00AD4E3A">
        <w:rPr>
          <w:rFonts w:ascii="Verdana" w:eastAsia="Calibri" w:hAnsi="Verdana" w:cs="Times New Roman"/>
          <w:sz w:val="20"/>
          <w:szCs w:val="20"/>
          <w:lang w:val="bg-BG"/>
        </w:rPr>
        <w:t xml:space="preserve"> (+12,7%), Татарстан (+5.6%), Москва (+37,8%), Орел (+37,6%), Мари Ел (+10,9%), </w:t>
      </w:r>
      <w:proofErr w:type="spellStart"/>
      <w:r w:rsidRPr="00AD4E3A">
        <w:rPr>
          <w:rFonts w:ascii="Verdana" w:eastAsia="Calibri" w:hAnsi="Verdana" w:cs="Times New Roman"/>
          <w:sz w:val="20"/>
          <w:szCs w:val="20"/>
          <w:lang w:val="bg-BG"/>
        </w:rPr>
        <w:t>Ставропол</w:t>
      </w:r>
      <w:proofErr w:type="spellEnd"/>
      <w:r w:rsidRPr="00AD4E3A">
        <w:rPr>
          <w:rFonts w:ascii="Verdana" w:eastAsia="Calibri" w:hAnsi="Verdana" w:cs="Times New Roman"/>
          <w:sz w:val="20"/>
          <w:szCs w:val="20"/>
          <w:lang w:val="bg-BG"/>
        </w:rPr>
        <w:t xml:space="preserve"> (+21,6%). Спад на производството се наблюдава в Челябинск (-2.9%), Башкортостан (-1.3%), Омск (-19.3%).</w:t>
      </w:r>
    </w:p>
    <w:p w:rsidR="00A32C3C" w:rsidRPr="00AD4E3A" w:rsidRDefault="00A32C3C" w:rsidP="00A32C3C">
      <w:pPr>
        <w:spacing w:after="0"/>
        <w:ind w:firstLine="708"/>
        <w:jc w:val="both"/>
        <w:rPr>
          <w:rFonts w:ascii="Verdana" w:eastAsia="Calibri" w:hAnsi="Verdana" w:cs="Times New Roman"/>
          <w:b/>
          <w:sz w:val="20"/>
          <w:szCs w:val="20"/>
          <w:lang w:val="bg-BG"/>
        </w:rPr>
      </w:pPr>
      <w:r w:rsidRPr="00AD4E3A">
        <w:rPr>
          <w:rFonts w:ascii="Verdana" w:eastAsia="Calibri" w:hAnsi="Verdana" w:cs="Times New Roman"/>
          <w:sz w:val="20"/>
          <w:szCs w:val="20"/>
          <w:lang w:val="bg-BG"/>
        </w:rPr>
        <w:t>Високи производствени показатели през март в сравнение с март 2017 г. се отбелязват в Ростов (+18%), Волгоград (+30%), Саратов (+48%), Рязан (+14%).</w:t>
      </w:r>
    </w:p>
    <w:p w:rsidR="00A32C3C" w:rsidRPr="00AD4E3A" w:rsidRDefault="00A32C3C" w:rsidP="00A32C3C">
      <w:pPr>
        <w:spacing w:after="0"/>
        <w:ind w:firstLine="708"/>
        <w:jc w:val="both"/>
        <w:rPr>
          <w:rFonts w:ascii="Verdana" w:eastAsia="Calibri" w:hAnsi="Verdana" w:cs="Times New Roman"/>
          <w:b/>
          <w:i/>
          <w:sz w:val="20"/>
          <w:szCs w:val="20"/>
          <w:lang w:val="bg-BG"/>
        </w:rPr>
      </w:pPr>
      <w:r w:rsidRPr="00AD4E3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A2FFFB5" wp14:editId="6E71843D">
            <wp:simplePos x="0" y="0"/>
            <wp:positionH relativeFrom="column">
              <wp:posOffset>37465</wp:posOffset>
            </wp:positionH>
            <wp:positionV relativeFrom="paragraph">
              <wp:posOffset>-1905</wp:posOffset>
            </wp:positionV>
            <wp:extent cx="450850" cy="546100"/>
            <wp:effectExtent l="0" t="0" r="6350" b="6350"/>
            <wp:wrapSquare wrapText="bothSides"/>
            <wp:docPr id="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8913" b="96927" l="19846" r="8238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7" t="18622" r="16850" b="2551"/>
                    <a:stretch/>
                  </pic:blipFill>
                  <pic:spPr bwMode="auto">
                    <a:xfrm>
                      <a:off x="0" y="0"/>
                      <a:ext cx="45085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E3A">
        <w:rPr>
          <w:rFonts w:ascii="Verdana" w:eastAsia="Calibri" w:hAnsi="Verdana" w:cs="Times New Roman"/>
          <w:b/>
          <w:sz w:val="20"/>
          <w:szCs w:val="20"/>
          <w:lang w:val="bg-BG"/>
        </w:rPr>
        <w:t>Производството на птиче месо</w:t>
      </w:r>
      <w:r w:rsidRPr="00AD4E3A">
        <w:rPr>
          <w:rFonts w:ascii="Verdana" w:eastAsia="Calibri" w:hAnsi="Verdana" w:cs="Times New Roman"/>
          <w:sz w:val="20"/>
          <w:szCs w:val="20"/>
          <w:lang w:val="bg-BG"/>
        </w:rPr>
        <w:t xml:space="preserve"> в селскостопанските предприятия през първото тримесечие на 2018 г. е в размер на 1 230 000 тона кланично тегло. През март обемите на производство са били 422,9 хил.т., и за първи път от две години се наблюдава слаба отрицателни динамика по отношение на същия период на 2017 г. (- 0,5%). Ниски показатели на производство през март се наблюдава в: </w:t>
      </w:r>
      <w:proofErr w:type="spellStart"/>
      <w:r w:rsidRPr="00AD4E3A">
        <w:rPr>
          <w:rFonts w:ascii="Verdana" w:eastAsia="Calibri" w:hAnsi="Verdana" w:cs="Times New Roman"/>
          <w:sz w:val="20"/>
          <w:szCs w:val="20"/>
          <w:lang w:val="bg-BG"/>
        </w:rPr>
        <w:t>Белгородска</w:t>
      </w:r>
      <w:proofErr w:type="spellEnd"/>
      <w:r w:rsidRPr="00AD4E3A">
        <w:rPr>
          <w:rFonts w:ascii="Verdana" w:eastAsia="Calibri" w:hAnsi="Verdana" w:cs="Times New Roman"/>
          <w:sz w:val="20"/>
          <w:szCs w:val="20"/>
          <w:lang w:val="bg-BG"/>
        </w:rPr>
        <w:t xml:space="preserve"> област (-7,9%), </w:t>
      </w:r>
      <w:proofErr w:type="spellStart"/>
      <w:r w:rsidRPr="00AD4E3A">
        <w:rPr>
          <w:rFonts w:ascii="Verdana" w:eastAsia="Calibri" w:hAnsi="Verdana" w:cs="Times New Roman"/>
          <w:sz w:val="20"/>
          <w:szCs w:val="20"/>
          <w:lang w:val="bg-BG"/>
        </w:rPr>
        <w:t>Челябинска</w:t>
      </w:r>
      <w:proofErr w:type="spellEnd"/>
      <w:r w:rsidRPr="00AD4E3A">
        <w:rPr>
          <w:rFonts w:ascii="Verdana" w:eastAsia="Calibri" w:hAnsi="Verdana" w:cs="Times New Roman"/>
          <w:sz w:val="20"/>
          <w:szCs w:val="20"/>
          <w:lang w:val="bg-BG"/>
        </w:rPr>
        <w:t xml:space="preserve"> област (-7.4%), Ленинградска област (-11,3%), </w:t>
      </w:r>
      <w:proofErr w:type="spellStart"/>
      <w:r w:rsidRPr="00AD4E3A">
        <w:rPr>
          <w:rFonts w:ascii="Verdana" w:eastAsia="Calibri" w:hAnsi="Verdana" w:cs="Times New Roman"/>
          <w:sz w:val="20"/>
          <w:szCs w:val="20"/>
          <w:lang w:val="bg-BG"/>
        </w:rPr>
        <w:t>Ставрополски</w:t>
      </w:r>
      <w:proofErr w:type="spellEnd"/>
      <w:r w:rsidRPr="00AD4E3A">
        <w:rPr>
          <w:rFonts w:ascii="Verdana" w:eastAsia="Calibri" w:hAnsi="Verdana" w:cs="Times New Roman"/>
          <w:sz w:val="20"/>
          <w:szCs w:val="20"/>
          <w:lang w:val="bg-BG"/>
        </w:rPr>
        <w:t xml:space="preserve"> край (-28,6%), Свердловска област (-1.2%), </w:t>
      </w:r>
      <w:proofErr w:type="spellStart"/>
      <w:r w:rsidRPr="00AD4E3A">
        <w:rPr>
          <w:rFonts w:ascii="Verdana" w:eastAsia="Calibri" w:hAnsi="Verdana" w:cs="Times New Roman"/>
          <w:sz w:val="20"/>
          <w:szCs w:val="20"/>
          <w:lang w:val="bg-BG"/>
        </w:rPr>
        <w:t>Курска</w:t>
      </w:r>
      <w:proofErr w:type="spellEnd"/>
      <w:r w:rsidRPr="00AD4E3A">
        <w:rPr>
          <w:rFonts w:ascii="Verdana" w:eastAsia="Calibri" w:hAnsi="Verdana" w:cs="Times New Roman"/>
          <w:sz w:val="20"/>
          <w:szCs w:val="20"/>
          <w:lang w:val="bg-BG"/>
        </w:rPr>
        <w:t xml:space="preserve"> област (-10.3%). През март се наблюдава ръст на производството в </w:t>
      </w:r>
      <w:proofErr w:type="spellStart"/>
      <w:r w:rsidRPr="00AD4E3A">
        <w:rPr>
          <w:rFonts w:ascii="Verdana" w:eastAsia="Calibri" w:hAnsi="Verdana" w:cs="Times New Roman"/>
          <w:sz w:val="20"/>
          <w:szCs w:val="20"/>
          <w:lang w:val="bg-BG"/>
        </w:rPr>
        <w:t>Тамбовска</w:t>
      </w:r>
      <w:proofErr w:type="spellEnd"/>
      <w:r w:rsidRPr="00AD4E3A">
        <w:rPr>
          <w:rFonts w:ascii="Verdana" w:eastAsia="Calibri" w:hAnsi="Verdana" w:cs="Times New Roman"/>
          <w:sz w:val="20"/>
          <w:szCs w:val="20"/>
          <w:lang w:val="bg-BG"/>
        </w:rPr>
        <w:t xml:space="preserve"> област (+77,6%), </w:t>
      </w:r>
      <w:proofErr w:type="spellStart"/>
      <w:r w:rsidRPr="00AD4E3A">
        <w:rPr>
          <w:rFonts w:ascii="Verdana" w:eastAsia="Calibri" w:hAnsi="Verdana" w:cs="Times New Roman"/>
          <w:sz w:val="20"/>
          <w:szCs w:val="20"/>
          <w:lang w:val="bg-BG"/>
        </w:rPr>
        <w:t>Брянска</w:t>
      </w:r>
      <w:proofErr w:type="spellEnd"/>
      <w:r w:rsidRPr="00AD4E3A">
        <w:rPr>
          <w:rFonts w:ascii="Verdana" w:eastAsia="Calibri" w:hAnsi="Verdana" w:cs="Times New Roman"/>
          <w:sz w:val="20"/>
          <w:szCs w:val="20"/>
          <w:lang w:val="bg-BG"/>
        </w:rPr>
        <w:t xml:space="preserve"> област (+8,8%), </w:t>
      </w:r>
      <w:proofErr w:type="spellStart"/>
      <w:r w:rsidRPr="00AD4E3A">
        <w:rPr>
          <w:rFonts w:ascii="Verdana" w:eastAsia="Calibri" w:hAnsi="Verdana" w:cs="Times New Roman"/>
          <w:sz w:val="20"/>
          <w:szCs w:val="20"/>
          <w:lang w:val="bg-BG"/>
        </w:rPr>
        <w:t>Пензенска</w:t>
      </w:r>
      <w:proofErr w:type="spellEnd"/>
      <w:r w:rsidRPr="00AD4E3A">
        <w:rPr>
          <w:rFonts w:ascii="Verdana" w:eastAsia="Calibri" w:hAnsi="Verdana" w:cs="Times New Roman"/>
          <w:sz w:val="20"/>
          <w:szCs w:val="20"/>
          <w:lang w:val="bg-BG"/>
        </w:rPr>
        <w:t xml:space="preserve"> област (+6.5%), Република Мордовия (+8.2%), Ростовска област ( +52,1%), </w:t>
      </w:r>
      <w:proofErr w:type="spellStart"/>
      <w:r w:rsidRPr="00AD4E3A">
        <w:rPr>
          <w:rFonts w:ascii="Verdana" w:eastAsia="Calibri" w:hAnsi="Verdana" w:cs="Times New Roman"/>
          <w:sz w:val="20"/>
          <w:szCs w:val="20"/>
          <w:lang w:val="bg-BG"/>
        </w:rPr>
        <w:t>Краснодарски</w:t>
      </w:r>
      <w:proofErr w:type="spellEnd"/>
      <w:r w:rsidRPr="00AD4E3A">
        <w:rPr>
          <w:rFonts w:ascii="Verdana" w:eastAsia="Calibri" w:hAnsi="Verdana" w:cs="Times New Roman"/>
          <w:sz w:val="20"/>
          <w:szCs w:val="20"/>
          <w:lang w:val="bg-BG"/>
        </w:rPr>
        <w:t xml:space="preserve"> край (+19,4%), Московска област (+7.6%), Свердловска област (+1%).</w:t>
      </w:r>
    </w:p>
    <w:p w:rsidR="00A32C3C" w:rsidRPr="00AD4E3A" w:rsidRDefault="00A32C3C" w:rsidP="00A32C3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sz w:val="20"/>
          <w:szCs w:val="20"/>
          <w:lang w:val="bg-BG"/>
        </w:rPr>
      </w:pPr>
    </w:p>
    <w:p w:rsidR="00A32C3C" w:rsidRPr="00AD4E3A" w:rsidRDefault="00A32C3C" w:rsidP="00A32C3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sz w:val="20"/>
          <w:szCs w:val="20"/>
          <w:lang w:val="bg-BG"/>
        </w:rPr>
      </w:pPr>
      <w:r w:rsidRPr="00AD4E3A">
        <w:rPr>
          <w:rFonts w:ascii="Verdana" w:eastAsia="Calibri" w:hAnsi="Verdana" w:cs="Times New Roman"/>
          <w:b/>
          <w:i/>
          <w:sz w:val="20"/>
          <w:szCs w:val="20"/>
          <w:lang w:val="bg-BG"/>
        </w:rPr>
        <w:t>Динамика на производството на основните видове месо</w:t>
      </w:r>
    </w:p>
    <w:p w:rsidR="00A32C3C" w:rsidRPr="00AD4E3A" w:rsidRDefault="00A32C3C" w:rsidP="00A32C3C">
      <w:pPr>
        <w:spacing w:after="0"/>
        <w:ind w:firstLine="708"/>
        <w:jc w:val="center"/>
        <w:rPr>
          <w:rFonts w:ascii="Verdana" w:eastAsia="Calibri" w:hAnsi="Verdana" w:cs="Times New Roman"/>
          <w:b/>
          <w:i/>
          <w:sz w:val="20"/>
          <w:szCs w:val="20"/>
          <w:lang w:val="bg-BG"/>
        </w:rPr>
      </w:pPr>
      <w:r w:rsidRPr="00AD4E3A">
        <w:rPr>
          <w:rFonts w:ascii="Verdana" w:eastAsia="Calibri" w:hAnsi="Verdana" w:cs="Times New Roman"/>
          <w:b/>
          <w:i/>
          <w:sz w:val="20"/>
          <w:szCs w:val="20"/>
          <w:lang w:val="bg-BG"/>
        </w:rPr>
        <w:t>за периода 2017 – 2018 г./хил.т.</w:t>
      </w:r>
    </w:p>
    <w:p w:rsidR="00A32C3C" w:rsidRPr="00AD4E3A" w:rsidRDefault="00A32C3C" w:rsidP="00A32C3C">
      <w:pPr>
        <w:spacing w:after="0"/>
        <w:ind w:firstLine="708"/>
        <w:jc w:val="both"/>
        <w:rPr>
          <w:rFonts w:ascii="Verdana" w:eastAsia="Calibri" w:hAnsi="Verdana" w:cs="Times New Roman"/>
          <w:sz w:val="20"/>
          <w:szCs w:val="20"/>
          <w:lang w:val="bg-BG"/>
        </w:rPr>
      </w:pPr>
    </w:p>
    <w:p w:rsidR="00A32C3C" w:rsidRPr="00AD4E3A" w:rsidRDefault="00A32C3C" w:rsidP="00A32C3C">
      <w:pPr>
        <w:spacing w:after="0"/>
        <w:ind w:firstLine="708"/>
        <w:jc w:val="center"/>
        <w:rPr>
          <w:rFonts w:ascii="Verdana" w:eastAsia="Calibri" w:hAnsi="Verdana" w:cs="Times New Roman"/>
          <w:sz w:val="20"/>
          <w:szCs w:val="20"/>
          <w:lang w:val="bg-BG"/>
        </w:rPr>
      </w:pPr>
      <w:r w:rsidRPr="00AD4E3A"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 wp14:anchorId="64FF1154" wp14:editId="2848A06E">
            <wp:extent cx="5238750" cy="25019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D59DA" w:rsidRDefault="00A32C3C" w:rsidP="00A32C3C">
      <w:pPr>
        <w:spacing w:after="0"/>
        <w:jc w:val="right"/>
      </w:pPr>
      <w:hyperlink r:id="rId13" w:history="1">
        <w:r w:rsidRPr="00AD4E3A">
          <w:rPr>
            <w:rFonts w:ascii="Verdana" w:eastAsia="Calibri" w:hAnsi="Verdana" w:cs="Times New Roman"/>
            <w:color w:val="0000FF"/>
            <w:sz w:val="20"/>
            <w:szCs w:val="20"/>
            <w:u w:val="single"/>
            <w:lang w:val="bg-BG"/>
          </w:rPr>
          <w:t>http://www.ikar.ru/</w:t>
        </w:r>
      </w:hyperlink>
      <w:r w:rsidRPr="00AD4E3A">
        <w:rPr>
          <w:rFonts w:ascii="Verdana" w:eastAsia="Calibri" w:hAnsi="Verdana" w:cs="Times New Roman"/>
          <w:sz w:val="20"/>
          <w:szCs w:val="20"/>
          <w:lang w:val="bg-BG"/>
        </w:rPr>
        <w:t xml:space="preserve"> </w:t>
      </w:r>
      <w:bookmarkStart w:id="0" w:name="_GoBack"/>
      <w:bookmarkEnd w:id="0"/>
    </w:p>
    <w:sectPr w:rsidR="00DD59DA" w:rsidSect="00A32C3C">
      <w:pgSz w:w="11906" w:h="16838"/>
      <w:pgMar w:top="567" w:right="850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C3C"/>
    <w:rsid w:val="00A32C3C"/>
    <w:rsid w:val="00DA08AF"/>
    <w:rsid w:val="00DD59DA"/>
    <w:rsid w:val="00FC2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C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C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ikar.ru/" TargetMode="Externa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chart" Target="charts/chart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7951765463279352E-2"/>
          <c:y val="5.3249494892275158E-2"/>
          <c:w val="0.89689100183231818"/>
          <c:h val="0.4920217526765988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говеждо</c:v>
                </c:pt>
              </c:strCache>
            </c:strRef>
          </c:tx>
          <c:dLbls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Лист1!$A$2:$A$19</c:f>
              <c:numCache>
                <c:formatCode>m/d/yyyy</c:formatCode>
                <c:ptCount val="18"/>
                <c:pt idx="0">
                  <c:v>42736</c:v>
                </c:pt>
                <c:pt idx="1">
                  <c:v>42767</c:v>
                </c:pt>
                <c:pt idx="2">
                  <c:v>42795</c:v>
                </c:pt>
                <c:pt idx="3">
                  <c:v>42826</c:v>
                </c:pt>
                <c:pt idx="4">
                  <c:v>42856</c:v>
                </c:pt>
                <c:pt idx="5">
                  <c:v>42887</c:v>
                </c:pt>
                <c:pt idx="6">
                  <c:v>42917</c:v>
                </c:pt>
                <c:pt idx="7">
                  <c:v>42948</c:v>
                </c:pt>
                <c:pt idx="8">
                  <c:v>42979</c:v>
                </c:pt>
                <c:pt idx="9">
                  <c:v>43009</c:v>
                </c:pt>
                <c:pt idx="10">
                  <c:v>43040</c:v>
                </c:pt>
                <c:pt idx="11">
                  <c:v>43070</c:v>
                </c:pt>
                <c:pt idx="12">
                  <c:v>43101</c:v>
                </c:pt>
                <c:pt idx="13">
                  <c:v>43132</c:v>
                </c:pt>
                <c:pt idx="14">
                  <c:v>43160</c:v>
                </c:pt>
              </c:numCache>
            </c:num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41</c:v>
                </c:pt>
                <c:pt idx="1">
                  <c:v>39</c:v>
                </c:pt>
                <c:pt idx="2">
                  <c:v>44</c:v>
                </c:pt>
                <c:pt idx="3">
                  <c:v>42</c:v>
                </c:pt>
                <c:pt idx="4">
                  <c:v>42</c:v>
                </c:pt>
                <c:pt idx="5">
                  <c:v>41</c:v>
                </c:pt>
                <c:pt idx="6">
                  <c:v>39</c:v>
                </c:pt>
                <c:pt idx="7">
                  <c:v>41</c:v>
                </c:pt>
                <c:pt idx="8">
                  <c:v>45</c:v>
                </c:pt>
                <c:pt idx="9">
                  <c:v>47</c:v>
                </c:pt>
                <c:pt idx="10">
                  <c:v>48</c:v>
                </c:pt>
                <c:pt idx="11">
                  <c:v>60</c:v>
                </c:pt>
                <c:pt idx="12">
                  <c:v>42</c:v>
                </c:pt>
                <c:pt idx="13">
                  <c:v>42</c:v>
                </c:pt>
                <c:pt idx="14">
                  <c:v>46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птиче</c:v>
                </c:pt>
              </c:strCache>
            </c:strRef>
          </c:tx>
          <c:dLbls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Лист1!$A$2:$A$19</c:f>
              <c:numCache>
                <c:formatCode>m/d/yyyy</c:formatCode>
                <c:ptCount val="18"/>
                <c:pt idx="0">
                  <c:v>42736</c:v>
                </c:pt>
                <c:pt idx="1">
                  <c:v>42767</c:v>
                </c:pt>
                <c:pt idx="2">
                  <c:v>42795</c:v>
                </c:pt>
                <c:pt idx="3">
                  <c:v>42826</c:v>
                </c:pt>
                <c:pt idx="4">
                  <c:v>42856</c:v>
                </c:pt>
                <c:pt idx="5">
                  <c:v>42887</c:v>
                </c:pt>
                <c:pt idx="6">
                  <c:v>42917</c:v>
                </c:pt>
                <c:pt idx="7">
                  <c:v>42948</c:v>
                </c:pt>
                <c:pt idx="8">
                  <c:v>42979</c:v>
                </c:pt>
                <c:pt idx="9">
                  <c:v>43009</c:v>
                </c:pt>
                <c:pt idx="10">
                  <c:v>43040</c:v>
                </c:pt>
                <c:pt idx="11">
                  <c:v>43070</c:v>
                </c:pt>
                <c:pt idx="12">
                  <c:v>43101</c:v>
                </c:pt>
                <c:pt idx="13">
                  <c:v>43132</c:v>
                </c:pt>
                <c:pt idx="14">
                  <c:v>43160</c:v>
                </c:pt>
              </c:numCache>
            </c:numRef>
          </c:cat>
          <c:val>
            <c:numRef>
              <c:f>Лист1!$C$2:$C$19</c:f>
              <c:numCache>
                <c:formatCode>General</c:formatCode>
                <c:ptCount val="18"/>
                <c:pt idx="0">
                  <c:v>383</c:v>
                </c:pt>
                <c:pt idx="1">
                  <c:v>370</c:v>
                </c:pt>
                <c:pt idx="2">
                  <c:v>425</c:v>
                </c:pt>
                <c:pt idx="3">
                  <c:v>409</c:v>
                </c:pt>
                <c:pt idx="4">
                  <c:v>418</c:v>
                </c:pt>
                <c:pt idx="5">
                  <c:v>389</c:v>
                </c:pt>
                <c:pt idx="6">
                  <c:v>414</c:v>
                </c:pt>
                <c:pt idx="7">
                  <c:v>399</c:v>
                </c:pt>
                <c:pt idx="8">
                  <c:v>406</c:v>
                </c:pt>
                <c:pt idx="9">
                  <c:v>427</c:v>
                </c:pt>
                <c:pt idx="10">
                  <c:v>414</c:v>
                </c:pt>
                <c:pt idx="11">
                  <c:v>435</c:v>
                </c:pt>
                <c:pt idx="12">
                  <c:v>417</c:v>
                </c:pt>
                <c:pt idx="13">
                  <c:v>390</c:v>
                </c:pt>
                <c:pt idx="14">
                  <c:v>423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свинско</c:v>
                </c:pt>
              </c:strCache>
            </c:strRef>
          </c:tx>
          <c:dLbls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Лист1!$A$2:$A$19</c:f>
              <c:numCache>
                <c:formatCode>m/d/yyyy</c:formatCode>
                <c:ptCount val="18"/>
                <c:pt idx="0">
                  <c:v>42736</c:v>
                </c:pt>
                <c:pt idx="1">
                  <c:v>42767</c:v>
                </c:pt>
                <c:pt idx="2">
                  <c:v>42795</c:v>
                </c:pt>
                <c:pt idx="3">
                  <c:v>42826</c:v>
                </c:pt>
                <c:pt idx="4">
                  <c:v>42856</c:v>
                </c:pt>
                <c:pt idx="5">
                  <c:v>42887</c:v>
                </c:pt>
                <c:pt idx="6">
                  <c:v>42917</c:v>
                </c:pt>
                <c:pt idx="7">
                  <c:v>42948</c:v>
                </c:pt>
                <c:pt idx="8">
                  <c:v>42979</c:v>
                </c:pt>
                <c:pt idx="9">
                  <c:v>43009</c:v>
                </c:pt>
                <c:pt idx="10">
                  <c:v>43040</c:v>
                </c:pt>
                <c:pt idx="11">
                  <c:v>43070</c:v>
                </c:pt>
                <c:pt idx="12">
                  <c:v>43101</c:v>
                </c:pt>
                <c:pt idx="13">
                  <c:v>43132</c:v>
                </c:pt>
                <c:pt idx="14">
                  <c:v>43160</c:v>
                </c:pt>
              </c:numCache>
            </c:numRef>
          </c:cat>
          <c:val>
            <c:numRef>
              <c:f>Лист1!$D$2:$D$19</c:f>
              <c:numCache>
                <c:formatCode>General</c:formatCode>
                <c:ptCount val="18"/>
                <c:pt idx="0">
                  <c:v>211</c:v>
                </c:pt>
                <c:pt idx="1">
                  <c:v>216</c:v>
                </c:pt>
                <c:pt idx="2">
                  <c:v>230</c:v>
                </c:pt>
                <c:pt idx="3">
                  <c:v>231</c:v>
                </c:pt>
                <c:pt idx="4">
                  <c:v>243</c:v>
                </c:pt>
                <c:pt idx="5">
                  <c:v>235</c:v>
                </c:pt>
                <c:pt idx="6">
                  <c:v>239</c:v>
                </c:pt>
                <c:pt idx="7">
                  <c:v>242</c:v>
                </c:pt>
                <c:pt idx="8">
                  <c:v>235</c:v>
                </c:pt>
                <c:pt idx="9">
                  <c:v>258</c:v>
                </c:pt>
                <c:pt idx="10">
                  <c:v>253</c:v>
                </c:pt>
                <c:pt idx="11">
                  <c:v>287</c:v>
                </c:pt>
                <c:pt idx="12">
                  <c:v>237</c:v>
                </c:pt>
                <c:pt idx="13">
                  <c:v>239</c:v>
                </c:pt>
                <c:pt idx="14">
                  <c:v>261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0394880"/>
        <c:axId val="140396416"/>
      </c:lineChart>
      <c:dateAx>
        <c:axId val="140394880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crossAx val="140396416"/>
        <c:crosses val="autoZero"/>
        <c:auto val="1"/>
        <c:lblOffset val="100"/>
        <c:baseTimeUnit val="months"/>
      </c:dateAx>
      <c:valAx>
        <c:axId val="1403964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0394880"/>
        <c:crosses val="autoZero"/>
        <c:crossBetween val="between"/>
      </c:valAx>
      <c:spPr>
        <a:solidFill>
          <a:srgbClr val="1F497D">
            <a:lumMod val="20000"/>
            <a:lumOff val="80000"/>
          </a:srgbClr>
        </a:solidFill>
      </c:spPr>
    </c:plotArea>
    <c:legend>
      <c:legendPos val="b"/>
      <c:layout>
        <c:manualLayout>
          <c:xMode val="edge"/>
          <c:yMode val="edge"/>
          <c:x val="2.5356048675733715E-2"/>
          <c:y val="0.8540009592709541"/>
          <c:w val="0.90455365720794334"/>
          <c:h val="8.6728601370871808E-2"/>
        </c:manualLayout>
      </c:layout>
      <c:overlay val="0"/>
    </c:legend>
    <c:plotVisOnly val="1"/>
    <c:dispBlanksAs val="gap"/>
    <c:showDLblsOverMax val="0"/>
  </c:chart>
  <c:spPr>
    <a:solidFill>
      <a:srgbClr val="1F497D">
        <a:lumMod val="20000"/>
        <a:lumOff val="80000"/>
      </a:srgbClr>
    </a:solidFill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CPRB</Company>
  <LinksUpToDate>false</LinksUpToDate>
  <CharactersWithSpaces>2621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Ana</cp:lastModifiedBy>
  <cp:revision>1</cp:revision>
  <dcterms:created xsi:type="dcterms:W3CDTF">2018-06-27T08:15:00Z</dcterms:created>
  <dcterms:modified xsi:type="dcterms:W3CDTF">2018-06-27T08:16:00Z</dcterms:modified>
</cp:coreProperties>
</file>