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BE" w:rsidRDefault="00DC54BE" w:rsidP="00DC54B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sz w:val="20"/>
          <w:szCs w:val="20"/>
          <w:lang w:val="bg-BG"/>
        </w:rPr>
      </w:pPr>
    </w:p>
    <w:p w:rsidR="00DC54BE" w:rsidRPr="003C3DD4" w:rsidRDefault="00DC54BE" w:rsidP="00DC54BE">
      <w:pPr>
        <w:pStyle w:val="NormalWeb"/>
        <w:spacing w:before="0" w:beforeAutospacing="0" w:after="0" w:afterAutospacing="0" w:line="276" w:lineRule="auto"/>
        <w:ind w:firstLine="708"/>
        <w:jc w:val="center"/>
        <w:rPr>
          <w:rFonts w:ascii="Verdana" w:eastAsia="Calibri" w:hAnsi="Verdana"/>
          <w:b/>
          <w:sz w:val="20"/>
          <w:szCs w:val="20"/>
          <w:lang w:val="bg-B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2B0244" wp14:editId="5502CF68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2330450" cy="1744345"/>
            <wp:effectExtent l="0" t="0" r="0" b="8255"/>
            <wp:wrapSquare wrapText="bothSides"/>
            <wp:docPr id="3" name="Рисунок 3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DD4">
        <w:rPr>
          <w:rFonts w:ascii="Verdana" w:eastAsia="Calibri" w:hAnsi="Verdana"/>
          <w:b/>
          <w:sz w:val="20"/>
          <w:szCs w:val="20"/>
          <w:lang w:val="bg-BG"/>
        </w:rPr>
        <w:t>РЕКОЛТА – 2016 В ЦИФРИ И ФАКТИ.</w:t>
      </w:r>
      <w:r w:rsidRPr="003C3DD4">
        <w:rPr>
          <w:rFonts w:ascii="Verdana" w:eastAsia="Calibri" w:hAnsi="Verdana"/>
          <w:sz w:val="20"/>
          <w:szCs w:val="20"/>
          <w:lang w:val="bg-BG"/>
        </w:rPr>
        <w:t> </w:t>
      </w:r>
      <w:r w:rsidRPr="003C3DD4">
        <w:rPr>
          <w:rFonts w:ascii="Verdana" w:eastAsia="Calibri" w:hAnsi="Verdana"/>
          <w:b/>
          <w:sz w:val="20"/>
          <w:szCs w:val="20"/>
          <w:lang w:val="bg-BG"/>
        </w:rPr>
        <w:t>РЕКОРДИ И ПРОБЛЕМИ НА СЕЛСКОСТОПАНСКИЯ СЕЗОН В РУСИЯ</w:t>
      </w:r>
    </w:p>
    <w:p w:rsidR="00DC54BE" w:rsidRDefault="00DC54BE" w:rsidP="00DC54BE">
      <w:pPr>
        <w:spacing w:after="0"/>
        <w:ind w:firstLine="708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</w:p>
    <w:p w:rsidR="00DC54BE" w:rsidRDefault="00DC54BE" w:rsidP="00DC54BE">
      <w:pPr>
        <w:spacing w:after="0"/>
        <w:ind w:firstLine="708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3C3DD4">
        <w:rPr>
          <w:rFonts w:ascii="Verdana" w:eastAsia="Calibri" w:hAnsi="Verdana" w:cs="Times New Roman"/>
          <w:sz w:val="20"/>
          <w:szCs w:val="20"/>
          <w:lang w:val="bg-BG"/>
        </w:rPr>
        <w:t>Кампанията за прибиране на реколтата в Русия завърши. Според Министерството на земеделието на РФ през 2016 г. реколта</w:t>
      </w:r>
      <w:r>
        <w:rPr>
          <w:rFonts w:ascii="Verdana" w:eastAsia="Calibri" w:hAnsi="Verdana" w:cs="Times New Roman"/>
          <w:sz w:val="20"/>
          <w:szCs w:val="20"/>
          <w:lang w:val="bg-BG"/>
        </w:rPr>
        <w:t>та</w:t>
      </w:r>
      <w:r w:rsidRPr="003C3DD4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Times New Roman"/>
          <w:sz w:val="20"/>
          <w:szCs w:val="20"/>
          <w:lang w:val="bg-BG"/>
        </w:rPr>
        <w:t>от</w:t>
      </w:r>
      <w:r w:rsidRPr="003C3DD4">
        <w:rPr>
          <w:rFonts w:ascii="Verdana" w:eastAsia="Calibri" w:hAnsi="Verdana" w:cs="Times New Roman"/>
          <w:sz w:val="20"/>
          <w:szCs w:val="20"/>
          <w:lang w:val="bg-BG"/>
        </w:rPr>
        <w:t xml:space="preserve"> зърнени култури в нетно тегло е 116 милиона тона срещу 104.8 милиона тона през 2015 г., което е рекорд за съвременна Русия и има шанс да закрепи статута си, като ед</w:t>
      </w:r>
      <w:r>
        <w:rPr>
          <w:rFonts w:ascii="Verdana" w:eastAsia="Calibri" w:hAnsi="Verdana" w:cs="Times New Roman"/>
          <w:sz w:val="20"/>
          <w:szCs w:val="20"/>
          <w:lang w:val="bg-BG"/>
        </w:rPr>
        <w:t>на</w:t>
      </w:r>
      <w:r w:rsidRPr="003C3DD4">
        <w:rPr>
          <w:rFonts w:ascii="Verdana" w:eastAsia="Calibri" w:hAnsi="Verdana" w:cs="Times New Roman"/>
          <w:sz w:val="20"/>
          <w:szCs w:val="20"/>
          <w:lang w:val="bg-BG"/>
        </w:rPr>
        <w:t xml:space="preserve"> от водещите </w:t>
      </w:r>
      <w:r>
        <w:rPr>
          <w:rFonts w:ascii="Verdana" w:eastAsia="Calibri" w:hAnsi="Verdana" w:cs="Times New Roman"/>
          <w:sz w:val="20"/>
          <w:szCs w:val="20"/>
          <w:lang w:val="bg-BG"/>
        </w:rPr>
        <w:t xml:space="preserve">страни </w:t>
      </w:r>
      <w:r w:rsidRPr="003C3DD4">
        <w:rPr>
          <w:rFonts w:ascii="Verdana" w:eastAsia="Calibri" w:hAnsi="Verdana" w:cs="Times New Roman"/>
          <w:sz w:val="20"/>
          <w:szCs w:val="20"/>
          <w:lang w:val="bg-BG"/>
        </w:rPr>
        <w:t>доставчици на световния пазар. В същото време, износът все още изостава спрямо миналогодишният график.</w:t>
      </w:r>
    </w:p>
    <w:p w:rsidR="00DC54BE" w:rsidRDefault="00DC54BE" w:rsidP="00DC54BE">
      <w:pPr>
        <w:spacing w:after="0"/>
        <w:ind w:firstLine="708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3C3DD4">
        <w:rPr>
          <w:rFonts w:ascii="Verdana" w:eastAsia="Calibri" w:hAnsi="Verdana" w:cs="Times New Roman"/>
          <w:sz w:val="20"/>
          <w:szCs w:val="20"/>
          <w:lang w:val="bg-BG"/>
        </w:rPr>
        <w:t>До скоро изглеждаше, че такъв резултат за Русия е абсолютно невъзможен.</w:t>
      </w:r>
    </w:p>
    <w:p w:rsidR="00DC54BE" w:rsidRPr="003C3DD4" w:rsidRDefault="00DC54BE" w:rsidP="00DC54BE">
      <w:pPr>
        <w:spacing w:after="0"/>
        <w:ind w:firstLine="708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3C3DD4">
        <w:rPr>
          <w:rFonts w:ascii="Verdana" w:eastAsia="Calibri" w:hAnsi="Verdana" w:cs="Times New Roman"/>
          <w:sz w:val="20"/>
          <w:szCs w:val="20"/>
          <w:lang w:val="bg-BG"/>
        </w:rPr>
        <w:t>Русия напълно покрива нуждите си по отношение на зърно, ориз и олио.</w:t>
      </w:r>
    </w:p>
    <w:p w:rsidR="00DC54BE" w:rsidRPr="003C3DD4" w:rsidRDefault="00DC54BE" w:rsidP="00DC54BE">
      <w:pPr>
        <w:spacing w:after="0"/>
        <w:ind w:firstLine="708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3C3DD4">
        <w:rPr>
          <w:rFonts w:ascii="Verdana" w:eastAsia="Calibri" w:hAnsi="Verdana" w:cs="Times New Roman"/>
          <w:sz w:val="20"/>
          <w:szCs w:val="20"/>
          <w:lang w:val="bg-BG"/>
        </w:rPr>
        <w:t>- производството на картофи покрива 97%;</w:t>
      </w:r>
    </w:p>
    <w:p w:rsidR="00DC54BE" w:rsidRPr="003C3DD4" w:rsidRDefault="00DC54BE" w:rsidP="00DC54BE">
      <w:pPr>
        <w:spacing w:after="0"/>
        <w:ind w:firstLine="708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- п</w:t>
      </w:r>
      <w:r w:rsidRPr="003C3DD4">
        <w:rPr>
          <w:rFonts w:ascii="Verdana" w:eastAsia="Calibri" w:hAnsi="Verdana" w:cs="Times New Roman"/>
          <w:sz w:val="20"/>
          <w:szCs w:val="20"/>
          <w:lang w:val="bg-BG"/>
        </w:rPr>
        <w:t>роизводство на захар – 93%;</w:t>
      </w:r>
    </w:p>
    <w:p w:rsidR="00DC54BE" w:rsidRDefault="00DC54BE" w:rsidP="00DC54BE">
      <w:pPr>
        <w:spacing w:after="0"/>
        <w:ind w:firstLine="708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- з</w:t>
      </w:r>
      <w:r w:rsidRPr="003C3DD4">
        <w:rPr>
          <w:rFonts w:ascii="Verdana" w:eastAsia="Calibri" w:hAnsi="Verdana" w:cs="Times New Roman"/>
          <w:sz w:val="20"/>
          <w:szCs w:val="20"/>
          <w:lang w:val="bg-BG"/>
        </w:rPr>
        <w:t>еленчуци – 92%, но извън сезона, местните производители на парникови зеленчуци покриват само половината от нуждите на населението.</w:t>
      </w:r>
    </w:p>
    <w:p w:rsidR="00DC54BE" w:rsidRDefault="00DC54BE" w:rsidP="00DC54BE">
      <w:pPr>
        <w:spacing w:after="0"/>
        <w:ind w:firstLine="708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3C3DD4">
        <w:rPr>
          <w:rFonts w:ascii="Verdana" w:eastAsia="Calibri" w:hAnsi="Verdana" w:cs="Times New Roman"/>
          <w:sz w:val="20"/>
          <w:szCs w:val="20"/>
          <w:lang w:val="bg-BG"/>
        </w:rPr>
        <w:t>Общият обем на вноса на основните видове зеленчуци в Русия през януари-септември 2016 г., според изчисленията на Експертно-аналитичния център на агробизнеса възлиза на 770.6 хил. т., което е 35,7% по-малко, отколкот</w:t>
      </w:r>
      <w:r>
        <w:rPr>
          <w:rFonts w:ascii="Verdana" w:eastAsia="Calibri" w:hAnsi="Verdana" w:cs="Times New Roman"/>
          <w:sz w:val="20"/>
          <w:szCs w:val="20"/>
          <w:lang w:val="bg-BG"/>
        </w:rPr>
        <w:t>о през януари-септември 2015 г.</w:t>
      </w:r>
    </w:p>
    <w:p w:rsidR="00DC54BE" w:rsidRDefault="00DC54BE" w:rsidP="00DC54BE">
      <w:pPr>
        <w:spacing w:after="0"/>
        <w:ind w:firstLine="708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3C3DD4">
        <w:rPr>
          <w:rFonts w:ascii="Verdana" w:eastAsia="Calibri" w:hAnsi="Verdana" w:cs="Times New Roman"/>
          <w:sz w:val="20"/>
          <w:szCs w:val="20"/>
          <w:lang w:val="bg-BG"/>
        </w:rPr>
        <w:t>В структурата на импорта за деветте месеца на 2016 г. преобладават домати (35.2% от общия обем), моркови (15.0%), лук (14.3%) и сладък пипер (8.6%). По отношение на същия период на 2015 г. вносът на лук в Руската федерация е намалял с 50,7%, чесън - с 4.3%, зеле - с 48.9%, цвекло - 41.8%, моркови - 18.2 %, патладжан - с 26%, сладък пипер - с 18.3%, репички - с 30.6%, домати - с 40,8%, краставици - с 28.8%.</w:t>
      </w:r>
    </w:p>
    <w:p w:rsidR="00DC54BE" w:rsidRDefault="00DC54BE" w:rsidP="00DC54BE">
      <w:pPr>
        <w:spacing w:after="0"/>
        <w:ind w:firstLine="708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3C3DD4">
        <w:rPr>
          <w:rFonts w:ascii="Verdana" w:eastAsia="Calibri" w:hAnsi="Verdana" w:cs="Times New Roman"/>
          <w:sz w:val="20"/>
          <w:szCs w:val="20"/>
          <w:lang w:val="bg-BG"/>
        </w:rPr>
        <w:t>Рекордните показатели ще позвол</w:t>
      </w:r>
      <w:r>
        <w:rPr>
          <w:rFonts w:ascii="Verdana" w:eastAsia="Calibri" w:hAnsi="Verdana" w:cs="Times New Roman"/>
          <w:sz w:val="20"/>
          <w:szCs w:val="20"/>
          <w:lang w:val="bg-BG"/>
        </w:rPr>
        <w:t>ят</w:t>
      </w:r>
      <w:r w:rsidRPr="003C3DD4">
        <w:rPr>
          <w:rFonts w:ascii="Verdana" w:eastAsia="Calibri" w:hAnsi="Verdana" w:cs="Times New Roman"/>
          <w:sz w:val="20"/>
          <w:szCs w:val="20"/>
          <w:lang w:val="bg-BG"/>
        </w:rPr>
        <w:t xml:space="preserve"> на Русия да консолидира своя статут</w:t>
      </w:r>
      <w:r>
        <w:rPr>
          <w:rFonts w:ascii="Verdana" w:eastAsia="Calibri" w:hAnsi="Verdana" w:cs="Times New Roman"/>
          <w:sz w:val="20"/>
          <w:szCs w:val="20"/>
          <w:lang w:val="bg-BG"/>
        </w:rPr>
        <w:t>,</w:t>
      </w:r>
      <w:r w:rsidRPr="003C3DD4">
        <w:rPr>
          <w:rFonts w:ascii="Verdana" w:eastAsia="Calibri" w:hAnsi="Verdana" w:cs="Times New Roman"/>
          <w:sz w:val="20"/>
          <w:szCs w:val="20"/>
          <w:lang w:val="bg-BG"/>
        </w:rPr>
        <w:t xml:space="preserve"> като ед</w:t>
      </w:r>
      <w:r>
        <w:rPr>
          <w:rFonts w:ascii="Verdana" w:eastAsia="Calibri" w:hAnsi="Verdana" w:cs="Times New Roman"/>
          <w:sz w:val="20"/>
          <w:szCs w:val="20"/>
          <w:lang w:val="bg-BG"/>
        </w:rPr>
        <w:t>на</w:t>
      </w:r>
      <w:r w:rsidRPr="003C3DD4">
        <w:rPr>
          <w:rFonts w:ascii="Verdana" w:eastAsia="Calibri" w:hAnsi="Verdana" w:cs="Times New Roman"/>
          <w:sz w:val="20"/>
          <w:szCs w:val="20"/>
          <w:lang w:val="bg-BG"/>
        </w:rPr>
        <w:t xml:space="preserve"> от водещите доставчици на зърно на световния пазар. </w:t>
      </w:r>
      <w:r>
        <w:rPr>
          <w:rFonts w:ascii="Verdana" w:eastAsia="Calibri" w:hAnsi="Verdana" w:cs="Times New Roman"/>
          <w:sz w:val="20"/>
          <w:szCs w:val="20"/>
          <w:lang w:val="bg-BG"/>
        </w:rPr>
        <w:t>През</w:t>
      </w:r>
      <w:r w:rsidRPr="003C3DD4">
        <w:rPr>
          <w:rFonts w:ascii="Verdana" w:eastAsia="Calibri" w:hAnsi="Verdana" w:cs="Times New Roman"/>
          <w:sz w:val="20"/>
          <w:szCs w:val="20"/>
          <w:lang w:val="bg-BG"/>
        </w:rPr>
        <w:t xml:space="preserve"> 2015-2016 селскостопанска година (от 1 юли) от страната са изнесени 33,9 милиона тона зърно. Най-много Русия е изнесла пшеница - 25,5 милиона тона и се превърна в световен лидер, като изпревар</w:t>
      </w:r>
      <w:r>
        <w:rPr>
          <w:rFonts w:ascii="Verdana" w:eastAsia="Calibri" w:hAnsi="Verdana" w:cs="Times New Roman"/>
          <w:sz w:val="20"/>
          <w:szCs w:val="20"/>
          <w:lang w:val="bg-BG"/>
        </w:rPr>
        <w:t>и</w:t>
      </w:r>
      <w:r w:rsidRPr="003C3DD4">
        <w:rPr>
          <w:rFonts w:ascii="Verdana" w:eastAsia="Calibri" w:hAnsi="Verdana" w:cs="Times New Roman"/>
          <w:sz w:val="20"/>
          <w:szCs w:val="20"/>
          <w:lang w:val="bg-BG"/>
        </w:rPr>
        <w:t xml:space="preserve"> Канада (22,5 милиона тона) и САЩ (21,09 милиона тона).</w:t>
      </w:r>
    </w:p>
    <w:p w:rsidR="00DC54BE" w:rsidRDefault="00DC54BE" w:rsidP="00DC54BE">
      <w:pPr>
        <w:spacing w:after="0"/>
        <w:ind w:firstLine="708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3C3DD4">
        <w:rPr>
          <w:rFonts w:ascii="Verdana" w:eastAsia="Calibri" w:hAnsi="Verdana" w:cs="Times New Roman"/>
          <w:sz w:val="20"/>
          <w:szCs w:val="20"/>
          <w:lang w:val="bg-BG"/>
        </w:rPr>
        <w:t>Според предварителните изчисления на Министерствот</w:t>
      </w:r>
      <w:r>
        <w:rPr>
          <w:rFonts w:ascii="Verdana" w:eastAsia="Calibri" w:hAnsi="Verdana" w:cs="Times New Roman"/>
          <w:sz w:val="20"/>
          <w:szCs w:val="20"/>
          <w:lang w:val="bg-BG"/>
        </w:rPr>
        <w:t>о на земеделието през 2016-2017</w:t>
      </w:r>
      <w:r w:rsidRPr="003C3DD4">
        <w:rPr>
          <w:rFonts w:ascii="Verdana" w:eastAsia="Calibri" w:hAnsi="Verdana" w:cs="Times New Roman"/>
          <w:sz w:val="20"/>
          <w:szCs w:val="20"/>
          <w:lang w:val="bg-BG"/>
        </w:rPr>
        <w:t xml:space="preserve"> селскостопанска година, Русия ще изнесе 40 милиона тона зърнени култури, включително 30 милиона тона пшеница. Това ще позволи на РФ да изпревари по обем на износ</w:t>
      </w:r>
      <w:r>
        <w:rPr>
          <w:rFonts w:ascii="Verdana" w:eastAsia="Calibri" w:hAnsi="Verdana" w:cs="Times New Roman"/>
          <w:sz w:val="20"/>
          <w:szCs w:val="20"/>
          <w:lang w:val="bg-BG"/>
        </w:rPr>
        <w:t>а</w:t>
      </w:r>
      <w:r w:rsidRPr="003C3DD4">
        <w:rPr>
          <w:rFonts w:ascii="Verdana" w:eastAsia="Calibri" w:hAnsi="Verdana" w:cs="Times New Roman"/>
          <w:sz w:val="20"/>
          <w:szCs w:val="20"/>
          <w:lang w:val="bg-BG"/>
        </w:rPr>
        <w:t xml:space="preserve"> не само отделни страни, но също така и Европейския съюз като цяло. Според Американското министерство на земеделието, в текущата селскостопанска година, ЕС изнася 27 милиона тона пшеница.</w:t>
      </w:r>
    </w:p>
    <w:p w:rsidR="00DC54BE" w:rsidRDefault="00DC54BE" w:rsidP="00DC54BE">
      <w:pPr>
        <w:spacing w:after="0"/>
        <w:ind w:firstLine="708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3C3DD4">
        <w:rPr>
          <w:rFonts w:ascii="Verdana" w:eastAsia="Calibri" w:hAnsi="Verdana" w:cs="Times New Roman"/>
          <w:sz w:val="20"/>
          <w:szCs w:val="20"/>
          <w:lang w:val="bg-BG"/>
        </w:rPr>
        <w:t>Въпреки това, за сега износът изостава по график от миналата година. Според Министерството на земеделието на РФ, от 1 юли до 19 октомври тази година, Русия е намалила износа на зърно и продукти от преработката му с 4%.</w:t>
      </w:r>
    </w:p>
    <w:p w:rsidR="00DC54BE" w:rsidRDefault="00DC54BE" w:rsidP="00DC54BE">
      <w:pPr>
        <w:rPr>
          <w:rStyle w:val="Hyperlink"/>
          <w:rFonts w:ascii="Verdana" w:hAnsi="Verdana"/>
          <w:b/>
          <w:color w:val="auto"/>
          <w:sz w:val="20"/>
          <w:szCs w:val="20"/>
          <w:u w:val="none"/>
          <w:lang w:val="en-US"/>
        </w:rPr>
      </w:pPr>
    </w:p>
    <w:p w:rsidR="00DC54BE" w:rsidRPr="00DC54BE" w:rsidRDefault="00DC54BE" w:rsidP="00DC54BE">
      <w:pPr>
        <w:rPr>
          <w:rStyle w:val="Hyperlink"/>
          <w:rFonts w:ascii="Verdana" w:hAnsi="Verdana"/>
          <w:b/>
          <w:color w:val="auto"/>
          <w:sz w:val="20"/>
          <w:szCs w:val="20"/>
          <w:u w:val="none"/>
          <w:lang w:val="bg-BG"/>
        </w:rPr>
      </w:pPr>
      <w:r w:rsidRPr="00DC54BE">
        <w:rPr>
          <w:rStyle w:val="Hyperlink"/>
          <w:rFonts w:ascii="Verdana" w:hAnsi="Verdana"/>
          <w:b/>
          <w:color w:val="auto"/>
          <w:sz w:val="20"/>
          <w:szCs w:val="20"/>
          <w:u w:val="none"/>
          <w:lang w:val="bg-BG"/>
        </w:rPr>
        <w:t>Какво пречи на износа?</w:t>
      </w:r>
    </w:p>
    <w:p w:rsidR="00DC54BE" w:rsidRPr="00DC54BE" w:rsidRDefault="00DC54BE" w:rsidP="00DC54BE">
      <w:pPr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 w:rsidRPr="00DC54BE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          </w:t>
      </w:r>
      <w:r w:rsidRPr="00DC54BE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 xml:space="preserve">Основната причина за спада на износа на Русия е ръста на производството на зърно в света. В края на октомври, Международния съвет по зърното (International Grains Council, IGC) повиши прогнозата си за световното производство на зърнени култури през текущият селскостопански сезон с 7,9 милиона тона до рекордните 2076,7 милиона тона. Това е с 4% повече от предишната година. Реколтата на пшеница в </w:t>
      </w:r>
      <w:r w:rsidRPr="00DC54BE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lastRenderedPageBreak/>
        <w:t>света, според оценки на Съвета, ще достигне рекордните 748 милиона тона – с 11,8 милиона тона повече от миналата година.</w:t>
      </w:r>
    </w:p>
    <w:p w:rsidR="00DC54BE" w:rsidRPr="00DC54BE" w:rsidRDefault="00DC54BE" w:rsidP="00DC54BE">
      <w:pPr>
        <w:pStyle w:val="NoSpacing"/>
        <w:spacing w:line="276" w:lineRule="auto"/>
        <w:ind w:firstLine="708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 w:rsidRPr="00DC54BE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>Ръстът на предлагането  довежда до спад на световните цени на пшеницата. Според изчисленията на Експертно-аналитичният център на агробизнеса, цената на пшеницата в Мексиканския залив (цена FOB, USA) през септември 2016 г. е била най-ниска за последните 10 години - 123.2 дол./т. За месец цените са намалели с 3,7%, за година - с 24.8%, за 2 години – с 41.7%, за 5 години - с 61,0%.</w:t>
      </w:r>
    </w:p>
    <w:p w:rsidR="00DC54BE" w:rsidRPr="00DC54BE" w:rsidRDefault="00DC54BE" w:rsidP="00DC54BE">
      <w:pPr>
        <w:pStyle w:val="NoSpacing"/>
        <w:ind w:firstLine="708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 w:rsidRPr="00DC54BE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>Други пречки за износа от Русия са проблемите, свързани с регулирането на допуска на зърно на пазара в редица страни вносителки. Например, Египет въвежда по-високи фитосанитарни изисквания, от международните стандарти, към качеството на пшеницата. В резултат на това, през август 2016 г., Египет отхвърля голяма пратка на зърно от Русия. След това се отказва от исканията си и се превръща в лидер в областта на вноса на пшеница от Русия. Подобни трудности е имало при износа в Бангладеш, Индонезия, Ливан, Виетнам, Иран.</w:t>
      </w:r>
    </w:p>
    <w:p w:rsidR="00DC54BE" w:rsidRPr="00DC54BE" w:rsidRDefault="00DC54BE" w:rsidP="00DC54BE">
      <w:pPr>
        <w:pStyle w:val="NoSpacing"/>
        <w:spacing w:line="276" w:lineRule="auto"/>
        <w:ind w:firstLine="708"/>
        <w:jc w:val="both"/>
        <w:rPr>
          <w:rFonts w:ascii="Verdana" w:eastAsia="Calibri" w:hAnsi="Verdana" w:cs="Times New Roman"/>
          <w:i/>
          <w:sz w:val="18"/>
          <w:szCs w:val="18"/>
          <w:lang w:val="bg-BG"/>
        </w:rPr>
      </w:pPr>
      <w:r w:rsidRPr="00DC54BE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 xml:space="preserve">Русия изнася зърно в следните държави:  Египет, Турция, Бангладеш, Саудитска Арабия, Мароко, Нигерия, Азербайджан, Иран, Ливан, Йемен и др.  </w:t>
      </w:r>
    </w:p>
    <w:p w:rsidR="00DC54BE" w:rsidRPr="00DC54BE" w:rsidRDefault="00DC54BE" w:rsidP="00DC54BE">
      <w:pPr>
        <w:spacing w:after="0"/>
        <w:ind w:firstLine="708"/>
        <w:jc w:val="center"/>
        <w:rPr>
          <w:rFonts w:ascii="Verdana" w:eastAsia="Calibri" w:hAnsi="Verdana" w:cs="Times New Roman"/>
          <w:i/>
          <w:sz w:val="18"/>
          <w:szCs w:val="18"/>
          <w:lang w:val="bg-BG"/>
        </w:rPr>
      </w:pPr>
    </w:p>
    <w:p w:rsidR="00DC54BE" w:rsidRPr="00DC54BE" w:rsidRDefault="00DC54BE" w:rsidP="00DC54BE">
      <w:pPr>
        <w:spacing w:after="0"/>
        <w:ind w:firstLine="708"/>
        <w:jc w:val="center"/>
        <w:rPr>
          <w:rFonts w:ascii="Verdana" w:eastAsia="Calibri" w:hAnsi="Verdana" w:cs="Times New Roman"/>
          <w:i/>
          <w:sz w:val="18"/>
          <w:szCs w:val="18"/>
          <w:lang w:val="bg-BG"/>
        </w:rPr>
      </w:pPr>
      <w:r w:rsidRPr="00DC54BE">
        <w:rPr>
          <w:rFonts w:ascii="Verdana" w:eastAsia="Calibri" w:hAnsi="Verdana" w:cs="Times New Roman"/>
          <w:i/>
          <w:sz w:val="18"/>
          <w:szCs w:val="18"/>
          <w:lang w:val="bg-BG"/>
        </w:rPr>
        <w:t>Експорт на Руската федерация, мил.т.</w:t>
      </w:r>
    </w:p>
    <w:p w:rsidR="00DC54BE" w:rsidRPr="00DC54BE" w:rsidRDefault="00DC54BE" w:rsidP="00DC54BE">
      <w:pPr>
        <w:spacing w:after="0"/>
        <w:ind w:firstLine="708"/>
        <w:jc w:val="center"/>
        <w:rPr>
          <w:rFonts w:ascii="Verdana" w:eastAsia="Calibri" w:hAnsi="Verdana" w:cs="Times New Roman"/>
          <w:i/>
          <w:sz w:val="18"/>
          <w:szCs w:val="18"/>
          <w:lang w:val="bg-BG"/>
        </w:rPr>
      </w:pPr>
    </w:p>
    <w:p w:rsidR="00DC54BE" w:rsidRPr="00DC54BE" w:rsidRDefault="00DC54BE" w:rsidP="00DC54BE">
      <w:pPr>
        <w:spacing w:after="0"/>
        <w:ind w:firstLine="708"/>
        <w:jc w:val="center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 w:rsidRPr="00DC54BE">
        <w:rPr>
          <w:rFonts w:ascii="Roboto Condensed" w:eastAsia="Times New Roman" w:hAnsi="Roboto Condensed" w:cs="Helvetica"/>
          <w:noProof/>
          <w:sz w:val="39"/>
          <w:szCs w:val="39"/>
          <w:lang w:eastAsia="ru-RU"/>
        </w:rPr>
        <w:drawing>
          <wp:inline distT="0" distB="0" distL="0" distR="0" wp14:anchorId="21B18638" wp14:editId="3276D927">
            <wp:extent cx="4572000" cy="170158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C54BE" w:rsidRPr="00DC54BE" w:rsidRDefault="00DC54BE" w:rsidP="00DC54BE">
      <w:pPr>
        <w:pStyle w:val="NoSpacing"/>
        <w:ind w:firstLine="708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 w:rsidRPr="00DC54BE">
        <w:rPr>
          <w:rStyle w:val="Hyperlink"/>
          <w:rFonts w:ascii="Verdana" w:hAnsi="Verdana"/>
          <w:b/>
          <w:color w:val="auto"/>
          <w:sz w:val="20"/>
          <w:szCs w:val="20"/>
          <w:u w:val="none"/>
          <w:lang w:val="bg-BG"/>
        </w:rPr>
        <w:t>Рекордни запаси</w:t>
      </w:r>
      <w:r w:rsidRPr="00DC54BE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>.</w:t>
      </w:r>
    </w:p>
    <w:p w:rsidR="00DC54BE" w:rsidRPr="00DC54BE" w:rsidRDefault="00DC54BE" w:rsidP="00DC54BE">
      <w:pPr>
        <w:pStyle w:val="NoSpacing"/>
        <w:ind w:firstLine="708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 w:rsidRPr="00DC54BE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>Към началото на октомври 2016 г., според Росстат, в селскостопанските, снабдителски и преработващи организации на Руската федерация е имало 49,14 милиона тона зърно, с 4,71 милиона тона (10,6%) повече от 01 октомври 2015 г.</w:t>
      </w:r>
    </w:p>
    <w:p w:rsidR="00DC54BE" w:rsidRPr="00DC54BE" w:rsidRDefault="00DC54BE" w:rsidP="00DC54BE">
      <w:pPr>
        <w:pStyle w:val="NoSpacing"/>
        <w:ind w:firstLine="708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 w:rsidRPr="00DC54BE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>Запасите от зърно в селскостопанските организации са се увеличили с 3,29 милиона тона (11,0%), в преработващите и снабдителски организации - с 1,42 милиона тона (9,8%).</w:t>
      </w:r>
    </w:p>
    <w:p w:rsidR="00DC54BE" w:rsidRPr="00DC54BE" w:rsidRDefault="00DC54BE" w:rsidP="00DC54BE">
      <w:pPr>
        <w:pStyle w:val="NoSpacing"/>
        <w:spacing w:line="276" w:lineRule="auto"/>
        <w:ind w:firstLine="708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 w:rsidRPr="00DC54BE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>На рекордно нива за съвременна Русия са запасите от пшеница. Според експертите, те са 33.8 милиона тона, което е с 22% повече от миналата година.</w:t>
      </w:r>
    </w:p>
    <w:p w:rsidR="00DC54BE" w:rsidRPr="00DC54BE" w:rsidRDefault="00DC54BE" w:rsidP="00DC54BE">
      <w:pPr>
        <w:pStyle w:val="NoSpacing"/>
        <w:ind w:firstLine="708"/>
        <w:jc w:val="both"/>
        <w:rPr>
          <w:rStyle w:val="Hyperlink"/>
          <w:rFonts w:ascii="Verdana" w:hAnsi="Verdana"/>
          <w:b/>
          <w:color w:val="auto"/>
          <w:sz w:val="20"/>
          <w:szCs w:val="20"/>
          <w:u w:val="none"/>
          <w:lang w:val="bg-BG"/>
        </w:rPr>
      </w:pPr>
      <w:r w:rsidRPr="00DC54BE">
        <w:rPr>
          <w:rStyle w:val="Hyperlink"/>
          <w:rFonts w:ascii="Verdana" w:hAnsi="Verdana"/>
          <w:b/>
          <w:color w:val="auto"/>
          <w:sz w:val="20"/>
          <w:szCs w:val="20"/>
          <w:u w:val="none"/>
          <w:lang w:val="bg-BG"/>
        </w:rPr>
        <w:t>Перспективи.</w:t>
      </w:r>
    </w:p>
    <w:p w:rsidR="00DC54BE" w:rsidRPr="00DC54BE" w:rsidRDefault="00DC54BE" w:rsidP="00DC54BE">
      <w:pPr>
        <w:pStyle w:val="NoSpacing"/>
        <w:ind w:firstLine="708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 w:rsidRPr="00DC54BE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>Според „Россельхознадзора“, възникналите сложности с някои страни при износа на зърно вече са решени благополучно. Подкрепа за износа оказва и правителството, като занули в края на септември действащите от лято на 2015 г. износни мита върху пшеницата до 01 юли 2018 г.</w:t>
      </w:r>
    </w:p>
    <w:p w:rsidR="00DC54BE" w:rsidRPr="00DC54BE" w:rsidRDefault="00DC54BE" w:rsidP="00DC54BE">
      <w:pPr>
        <w:pStyle w:val="NoSpacing"/>
        <w:ind w:firstLine="708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 w:rsidRPr="00DC54BE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>Специалистите смятат, че Русия има перспективи за увеличаване на износа на зърно в редица страни:</w:t>
      </w:r>
    </w:p>
    <w:p w:rsidR="00DC54BE" w:rsidRPr="00DC54BE" w:rsidRDefault="00DC54BE" w:rsidP="00DC54BE">
      <w:pPr>
        <w:pStyle w:val="NoSpacing"/>
        <w:ind w:firstLine="708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 w:rsidRPr="00DC54BE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>• В Тунис, Алжир и Мароко - поради лошата реколта на пшеница във Франция, която е техен традиционен доставчик;</w:t>
      </w:r>
    </w:p>
    <w:p w:rsidR="00DC54BE" w:rsidRPr="00DC54BE" w:rsidRDefault="00DC54BE" w:rsidP="00DC54BE">
      <w:pPr>
        <w:pStyle w:val="NoSpacing"/>
        <w:ind w:firstLine="708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 w:rsidRPr="00DC54BE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>• в страните от Югоизточна Азия (Индонезия, Тайланд, Виетнам) - поради нарастващото население в тези страни, липсата на собствено производство и развитието на месната индустрия;</w:t>
      </w:r>
    </w:p>
    <w:p w:rsidR="00DC54BE" w:rsidRPr="00DC54BE" w:rsidRDefault="00DC54BE" w:rsidP="00DC54BE">
      <w:pPr>
        <w:pStyle w:val="NoSpacing"/>
        <w:ind w:firstLine="708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 w:rsidRPr="00DC54BE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>• В страните от Близкия изток (Сирия, Ирак, Саудитска Арабия) - поради тежката суша и военни действия в страните от региона.</w:t>
      </w:r>
    </w:p>
    <w:p w:rsidR="00DC54BE" w:rsidRPr="00DC54BE" w:rsidRDefault="00DC54BE" w:rsidP="00DC54BE">
      <w:pPr>
        <w:pStyle w:val="NoSpacing"/>
        <w:ind w:firstLine="708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 w:rsidRPr="00DC54BE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>Русия също полагат усилия за популяризиране на своите продукти на пазарите на Филипините, Индия, Афганистан, Китай, Южна Корея, Венецуела, Колумбия, Перу и Мексико.</w:t>
      </w:r>
    </w:p>
    <w:p w:rsidR="009C0544" w:rsidRDefault="00DC54BE" w:rsidP="00DC54BE">
      <w:pPr>
        <w:pStyle w:val="NoSpacing"/>
        <w:spacing w:line="276" w:lineRule="auto"/>
        <w:jc w:val="right"/>
      </w:pPr>
      <w:hyperlink r:id="rId7" w:history="1">
        <w:r w:rsidRPr="00DC54BE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http://agrovesti.net/</w:t>
        </w:r>
      </w:hyperlink>
      <w:r>
        <w:rPr>
          <w:rStyle w:val="Hyperlink"/>
          <w:rFonts w:ascii="Verdana" w:hAnsi="Verdana"/>
          <w:sz w:val="20"/>
          <w:szCs w:val="20"/>
          <w:lang w:val="bg-BG"/>
        </w:rPr>
        <w:t xml:space="preserve"> </w:t>
      </w:r>
      <w:bookmarkStart w:id="0" w:name="_GoBack"/>
      <w:bookmarkEnd w:id="0"/>
    </w:p>
    <w:sectPr w:rsidR="009C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 Condensed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BE"/>
    <w:rsid w:val="009C0544"/>
    <w:rsid w:val="00DC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4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54BE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DC54BE"/>
  </w:style>
  <w:style w:type="paragraph" w:styleId="NormalWeb">
    <w:name w:val="Normal (Web)"/>
    <w:basedOn w:val="Normal"/>
    <w:uiPriority w:val="99"/>
    <w:unhideWhenUsed/>
    <w:rsid w:val="00DC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4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54BE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DC54BE"/>
  </w:style>
  <w:style w:type="paragraph" w:styleId="NormalWeb">
    <w:name w:val="Normal (Web)"/>
    <w:basedOn w:val="Normal"/>
    <w:uiPriority w:val="99"/>
    <w:unhideWhenUsed/>
    <w:rsid w:val="00DC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grovesti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Общо</c:v>
                </c:pt>
                <c:pt idx="1">
                  <c:v>Зърнени култури</c:v>
                </c:pt>
                <c:pt idx="2">
                  <c:v>Пшеница</c:v>
                </c:pt>
                <c:pt idx="3">
                  <c:v>Ечемик</c:v>
                </c:pt>
                <c:pt idx="4">
                  <c:v>Царевица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10.3</c:v>
                </c:pt>
                <c:pt idx="1">
                  <c:v>9</c:v>
                </c:pt>
                <c:pt idx="2">
                  <c:v>7.6</c:v>
                </c:pt>
                <c:pt idx="3">
                  <c:v>1.1000000000000001</c:v>
                </c:pt>
                <c:pt idx="4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Общо</c:v>
                </c:pt>
                <c:pt idx="1">
                  <c:v>Зърнени култури</c:v>
                </c:pt>
                <c:pt idx="2">
                  <c:v>Пшеница</c:v>
                </c:pt>
                <c:pt idx="3">
                  <c:v>Ечемик</c:v>
                </c:pt>
                <c:pt idx="4">
                  <c:v>Царевица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12.6</c:v>
                </c:pt>
                <c:pt idx="1">
                  <c:v>11.8</c:v>
                </c:pt>
                <c:pt idx="2">
                  <c:v>9.1</c:v>
                </c:pt>
                <c:pt idx="3">
                  <c:v>2</c:v>
                </c:pt>
                <c:pt idx="4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Общо</c:v>
                </c:pt>
                <c:pt idx="1">
                  <c:v>Зърнени култури</c:v>
                </c:pt>
                <c:pt idx="2">
                  <c:v>Пшеница</c:v>
                </c:pt>
                <c:pt idx="3">
                  <c:v>Ечемик</c:v>
                </c:pt>
                <c:pt idx="4">
                  <c:v>Царевица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12.1</c:v>
                </c:pt>
                <c:pt idx="1">
                  <c:v>10.9</c:v>
                </c:pt>
                <c:pt idx="2">
                  <c:v>9</c:v>
                </c:pt>
                <c:pt idx="3">
                  <c:v>1.4</c:v>
                </c:pt>
                <c:pt idx="4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5361152"/>
        <c:axId val="134079232"/>
        <c:axId val="0"/>
      </c:bar3DChart>
      <c:catAx>
        <c:axId val="125361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34079232"/>
        <c:crosses val="autoZero"/>
        <c:auto val="1"/>
        <c:lblAlgn val="ctr"/>
        <c:lblOffset val="100"/>
        <c:noMultiLvlLbl val="0"/>
      </c:catAx>
      <c:valAx>
        <c:axId val="134079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361152"/>
        <c:crosses val="autoZero"/>
        <c:crossBetween val="between"/>
      </c:valAx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Stanislav</cp:lastModifiedBy>
  <cp:revision>1</cp:revision>
  <dcterms:created xsi:type="dcterms:W3CDTF">2016-12-14T07:16:00Z</dcterms:created>
  <dcterms:modified xsi:type="dcterms:W3CDTF">2016-12-14T07:18:00Z</dcterms:modified>
</cp:coreProperties>
</file>