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BE" w:rsidRDefault="00DC54BE" w:rsidP="00DC54B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DC54BE" w:rsidRPr="003C3DD4" w:rsidRDefault="00DC54BE" w:rsidP="00DC54BE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eastAsia="Calibri" w:hAnsi="Verdana"/>
          <w:b/>
          <w:sz w:val="20"/>
          <w:szCs w:val="2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B0244" wp14:editId="5502CF68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330450" cy="1744345"/>
            <wp:effectExtent l="0" t="0" r="0" b="8255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DD4">
        <w:rPr>
          <w:rFonts w:ascii="Verdana" w:eastAsia="Calibri" w:hAnsi="Verdana"/>
          <w:b/>
          <w:sz w:val="20"/>
          <w:szCs w:val="20"/>
          <w:lang w:val="bg-BG"/>
        </w:rPr>
        <w:t>РЕКОЛТА – 2016 В ЦИФРИ И ФАКТИ.</w:t>
      </w:r>
      <w:r w:rsidRPr="003C3DD4">
        <w:rPr>
          <w:rFonts w:ascii="Verdana" w:eastAsia="Calibri" w:hAnsi="Verdana"/>
          <w:sz w:val="20"/>
          <w:szCs w:val="20"/>
          <w:lang w:val="bg-BG"/>
        </w:rPr>
        <w:t> </w:t>
      </w:r>
      <w:r w:rsidRPr="003C3DD4">
        <w:rPr>
          <w:rFonts w:ascii="Verdana" w:eastAsia="Calibri" w:hAnsi="Verdana"/>
          <w:b/>
          <w:sz w:val="20"/>
          <w:szCs w:val="20"/>
          <w:lang w:val="bg-BG"/>
        </w:rPr>
        <w:t>РЕКОРДИ И ПРОБЛЕМИ НА СЕЛСКОСТОПАНСКИЯ СЕЗОН В РУСИЯ</w:t>
      </w: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Кампанията за прибиране на реколтата в Русия завърши. Според Министерството на земеделието на РФ през 2016 г. реколта</w:t>
      </w:r>
      <w:r>
        <w:rPr>
          <w:rFonts w:ascii="Verdana" w:eastAsia="Calibri" w:hAnsi="Verdana" w:cs="Times New Roman"/>
          <w:sz w:val="20"/>
          <w:szCs w:val="20"/>
          <w:lang w:val="bg-BG"/>
        </w:rPr>
        <w:t>та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от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зърнени култури в нетно тегло е 116 милиона тона срещу 104.8 милиона тона през 2015 г., което е рекорд за съвременна Русия и има шанс да закрепи статута си, като ед</w:t>
      </w:r>
      <w:r>
        <w:rPr>
          <w:rFonts w:ascii="Verdana" w:eastAsia="Calibri" w:hAnsi="Verdana" w:cs="Times New Roman"/>
          <w:sz w:val="20"/>
          <w:szCs w:val="20"/>
          <w:lang w:val="bg-BG"/>
        </w:rPr>
        <w:t>на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от водещите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страни 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>доставчици на световния пазар. В същото време, износът все още изостава спрямо миналогодишният график.</w:t>
      </w: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До скоро изглеждаше, че такъв резултат за Русия е абсолютно невъзможен.</w:t>
      </w:r>
    </w:p>
    <w:p w:rsidR="00DC54BE" w:rsidRPr="003C3DD4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Русия напълно покрива нуждите си по отношение на зърно, ориз и олио.</w:t>
      </w:r>
    </w:p>
    <w:p w:rsidR="00DC54BE" w:rsidRPr="003C3DD4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- производството на картофи покрива 97%;</w:t>
      </w:r>
    </w:p>
    <w:p w:rsidR="00DC54BE" w:rsidRPr="003C3DD4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- п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>роизводство на захар – 93%;</w:t>
      </w: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- з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>еленчуци – 92%, но извън сезона, местните производители на парникови зеленчуци покриват само половината от нуждите на населението.</w:t>
      </w: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Общият обем на вноса на основните видове зеленчуци в Русия през януари-септември 2016 г., според изчисленията на Експертно-аналитичния център на агробизнеса възлиза на 770.6 хил. т., което е 35,7% по-малко, отколкот</w:t>
      </w:r>
      <w:r>
        <w:rPr>
          <w:rFonts w:ascii="Verdana" w:eastAsia="Calibri" w:hAnsi="Verdana" w:cs="Times New Roman"/>
          <w:sz w:val="20"/>
          <w:szCs w:val="20"/>
          <w:lang w:val="bg-BG"/>
        </w:rPr>
        <w:t>о през януари-септември 2015 г.</w:t>
      </w: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В структурата на импорта за деветте месеца на 2016 г. преобладават домати (35.2% от общия обем), моркови (15.0%), лук (14.3%) и сладък пипер (8.6%). По отношение на същия период на 2015 г. вносът на лук в Руската федерация е намалял с 50,7%, чесън - с 4.3%, зеле - с 48.9%, цвекло - 41.8%, моркови - 18.2 %, патладжан - с 26%, сладък пипер - с 18.3%, репички - с 30.6%, домати - с 40,8%, краставици - с 28.8%.</w:t>
      </w: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Рекордните показатели ще позвол</w:t>
      </w:r>
      <w:r>
        <w:rPr>
          <w:rFonts w:ascii="Verdana" w:eastAsia="Calibri" w:hAnsi="Verdana" w:cs="Times New Roman"/>
          <w:sz w:val="20"/>
          <w:szCs w:val="20"/>
          <w:lang w:val="bg-BG"/>
        </w:rPr>
        <w:t>ят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на Русия да консолидира своя статут</w:t>
      </w:r>
      <w:r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като ед</w:t>
      </w:r>
      <w:r>
        <w:rPr>
          <w:rFonts w:ascii="Verdana" w:eastAsia="Calibri" w:hAnsi="Verdana" w:cs="Times New Roman"/>
          <w:sz w:val="20"/>
          <w:szCs w:val="20"/>
          <w:lang w:val="bg-BG"/>
        </w:rPr>
        <w:t>на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от водещите доставчици на зърно на световния пазар. </w:t>
      </w:r>
      <w:r>
        <w:rPr>
          <w:rFonts w:ascii="Verdana" w:eastAsia="Calibri" w:hAnsi="Verdana" w:cs="Times New Roman"/>
          <w:sz w:val="20"/>
          <w:szCs w:val="20"/>
          <w:lang w:val="bg-BG"/>
        </w:rPr>
        <w:t>През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2015-2016 селскостопанска година (от 1 юли) от страната са изнесени 33,9 милиона тона зърно. Най-много Русия е изнесла пшеница - 25,5 милиона тона и се превърна в световен лидер, като изпревар</w:t>
      </w:r>
      <w:r>
        <w:rPr>
          <w:rFonts w:ascii="Verdana" w:eastAsia="Calibri" w:hAnsi="Verdana" w:cs="Times New Roman"/>
          <w:sz w:val="20"/>
          <w:szCs w:val="20"/>
          <w:lang w:val="bg-BG"/>
        </w:rPr>
        <w:t>и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Канада (22,5 милиона тона) и САЩ (21,09 милиона тона).</w:t>
      </w: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Според предварителните изчисления на Министерствот</w:t>
      </w:r>
      <w:r>
        <w:rPr>
          <w:rFonts w:ascii="Verdana" w:eastAsia="Calibri" w:hAnsi="Verdana" w:cs="Times New Roman"/>
          <w:sz w:val="20"/>
          <w:szCs w:val="20"/>
          <w:lang w:val="bg-BG"/>
        </w:rPr>
        <w:t>о на земеделието през 2016-2017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селскостопанска година, Русия ще изнесе 40 милиона тона зърнени култури, включително 30 милиона тона пшеница. Това ще позволи на РФ да изпревари по обем на износ</w:t>
      </w:r>
      <w:r>
        <w:rPr>
          <w:rFonts w:ascii="Verdana" w:eastAsia="Calibri" w:hAnsi="Verdana" w:cs="Times New Roman"/>
          <w:sz w:val="20"/>
          <w:szCs w:val="20"/>
          <w:lang w:val="bg-BG"/>
        </w:rPr>
        <w:t>а</w:t>
      </w:r>
      <w:r w:rsidRPr="003C3DD4">
        <w:rPr>
          <w:rFonts w:ascii="Verdana" w:eastAsia="Calibri" w:hAnsi="Verdana" w:cs="Times New Roman"/>
          <w:sz w:val="20"/>
          <w:szCs w:val="20"/>
          <w:lang w:val="bg-BG"/>
        </w:rPr>
        <w:t xml:space="preserve"> не само отделни страни, но също така и Европейския съюз като цяло. Според Американското министерство на земеделието, в текущата селскостопанска година, ЕС изнася 27 милиона тона пшеница.</w:t>
      </w:r>
    </w:p>
    <w:p w:rsidR="00DC54BE" w:rsidRDefault="00DC54BE" w:rsidP="00DC54B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3C3DD4">
        <w:rPr>
          <w:rFonts w:ascii="Verdana" w:eastAsia="Calibri" w:hAnsi="Verdana" w:cs="Times New Roman"/>
          <w:sz w:val="20"/>
          <w:szCs w:val="20"/>
          <w:lang w:val="bg-BG"/>
        </w:rPr>
        <w:t>Въпреки това, за сега износът изостава по график от миналата година. Според Министерството на земеделието на РФ, от 1 юли до 19 октомври тази година, Русия е намалила износа на зърно и продукти от преработката му с 4%.</w:t>
      </w:r>
    </w:p>
    <w:p w:rsidR="00DC54BE" w:rsidRDefault="00DC54BE" w:rsidP="00DC54BE">
      <w:pPr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en-US"/>
        </w:rPr>
      </w:pPr>
    </w:p>
    <w:p w:rsidR="00DC54BE" w:rsidRPr="00DC54BE" w:rsidRDefault="00DC54BE" w:rsidP="00DC54BE">
      <w:pPr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  <w:t>Какво пречи на износа?</w:t>
      </w:r>
    </w:p>
    <w:p w:rsidR="00DC54BE" w:rsidRPr="00DC54BE" w:rsidRDefault="00DC54BE" w:rsidP="00DC54BE">
      <w:pPr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         </w:t>
      </w: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Основната причина за спада на износа на Русия е ръста на производството на зърно в света. В края на октомври, Международния съвет по зърното (International Grains Council, IGC) повиши прогнозата си за световното производство на зърнени култури през текущият селскостопански сезон с 7,9 милиона тона до рекордните 2076,7 милиона тона. Това е с 4% повече от предишната година. Реколтата на пшеница в </w:t>
      </w: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света, според оценки на Съвета, ще достигне рекордните 748 милиона тона – с 11,8 милиона тона повече от миналата година.</w:t>
      </w:r>
    </w:p>
    <w:p w:rsidR="00DC54BE" w:rsidRPr="00DC54BE" w:rsidRDefault="00DC54BE" w:rsidP="00DC54BE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Ръстът на предлагането  довежда до спад на световните цени на пшеницата. Според изчисленията на Експертно-аналитичният център на агробизнеса, цената на пшеницата в Мексиканския залив (цена FOB, USA) през септември 2016 г. е била най-ниска за последните 10 години - 123.2 дол./т. За месец цените са намалели с 3,7%, за година - с 24.8%, за 2 години – с 41.7%, за 5 години - с 61,0%.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Други пречки за износа от Русия са проблемите, свързани с регулирането на допуска на зърно на пазара в редица страни вносителки. Например, Египет въвежда по-високи фитосанитарни изисквания, от международните стандарти, към качеството на пшеницата. В резултат на това, през август 2016 г., Египет отхвърля голяма пратка на зърно от Русия. След това се отказва от исканията си и се превръща в лидер в областта на вноса на пшеница от Русия. Подобни трудности е имало при износа в Бангладеш, Индонезия, Ливан, Виетнам, Иран.</w:t>
      </w:r>
    </w:p>
    <w:p w:rsidR="00DC54BE" w:rsidRPr="00DC54BE" w:rsidRDefault="00DC54BE" w:rsidP="00DC54BE">
      <w:pPr>
        <w:pStyle w:val="NoSpacing"/>
        <w:spacing w:line="276" w:lineRule="auto"/>
        <w:ind w:firstLine="708"/>
        <w:jc w:val="both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Русия изнася зърно в следните държави:  Египет, Турция, Бангладеш, Саудитска Арабия, Мароко, Нигерия, Азербайджан, Иран, Ливан, Йемен и др.  </w:t>
      </w:r>
    </w:p>
    <w:p w:rsidR="00DC54BE" w:rsidRPr="00DC54BE" w:rsidRDefault="00DC54BE" w:rsidP="00DC54BE">
      <w:pPr>
        <w:spacing w:after="0"/>
        <w:ind w:firstLine="708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p w:rsidR="00DC54BE" w:rsidRPr="00DC54BE" w:rsidRDefault="00DC54BE" w:rsidP="00DC54BE">
      <w:pPr>
        <w:spacing w:after="0"/>
        <w:ind w:firstLine="708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DC54BE">
        <w:rPr>
          <w:rFonts w:ascii="Verdana" w:eastAsia="Calibri" w:hAnsi="Verdana" w:cs="Times New Roman"/>
          <w:i/>
          <w:sz w:val="18"/>
          <w:szCs w:val="18"/>
          <w:lang w:val="bg-BG"/>
        </w:rPr>
        <w:t>Експорт на Руската федерация, мил.т.</w:t>
      </w:r>
    </w:p>
    <w:p w:rsidR="00DC54BE" w:rsidRPr="00DC54BE" w:rsidRDefault="00DC54BE" w:rsidP="00DC54BE">
      <w:pPr>
        <w:spacing w:after="0"/>
        <w:ind w:firstLine="708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p w:rsidR="00DC54BE" w:rsidRPr="00DC54BE" w:rsidRDefault="00DC54BE" w:rsidP="00DC54BE">
      <w:pPr>
        <w:spacing w:after="0"/>
        <w:ind w:firstLine="708"/>
        <w:jc w:val="center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Fonts w:ascii="Roboto Condensed" w:eastAsia="Times New Roman" w:hAnsi="Roboto Condensed" w:cs="Helvetica"/>
          <w:noProof/>
          <w:sz w:val="39"/>
          <w:szCs w:val="39"/>
          <w:lang w:eastAsia="ru-RU"/>
        </w:rPr>
        <w:drawing>
          <wp:inline distT="0" distB="0" distL="0" distR="0" wp14:anchorId="21B18638" wp14:editId="3276D927">
            <wp:extent cx="4572000" cy="170158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  <w:t>Рекордни запаси</w:t>
      </w: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.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Към началото на октомври 2016 г., според Росстат, в селскостопанските, снабдителски и преработващи организации на Руската федерация е имало 49,14 милиона тона зърно, с 4,71 милиона тона (10,6%) повече от 01 октомври 2015 г.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Запасите от зърно в селскостопанските организации са се увеличили с 3,29 милиона тона (11,0%), в преработващите и снабдителски организации - с 1,42 милиона тона (9,8%).</w:t>
      </w:r>
    </w:p>
    <w:p w:rsidR="00DC54BE" w:rsidRPr="00DC54BE" w:rsidRDefault="00DC54BE" w:rsidP="00DC54BE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На рекордно нива за съвременна Русия са запасите от пшеница. Според експертите, те са 33.8 милиона тона, което е с 22% повече от миналата година.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bg-BG"/>
        </w:rPr>
        <w:t>Перспективи.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Според „Россельхознадзора“, възникналите сложности с някои страни при износа на зърно вече са решени благополучно. Подкрепа за износа оказва и правителството, като занули в края на септември действащите от лято на 2015 г. износни мита върху пшеницата до 01 юли 2018 г.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Специалистите смятат, че Русия има перспективи за увеличаване на износа на зърно в редица страни: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• В Тунис, Алжир и Мароко - поради лошата реколта на пшеница във Франция, която е техен традиционен доставчик;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• в страните от Югоизточна Азия (Индонезия, Тайланд, Виетнам) - поради нарастващото население в тези страни, липсата на собствено производство и развитието на месната индустрия;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• В страните от Близкия изток (Сирия, Ирак, Саудитска Арабия) - поради тежката суша и военни действия в страните от региона.</w:t>
      </w:r>
    </w:p>
    <w:p w:rsidR="00DC54BE" w:rsidRPr="00DC54BE" w:rsidRDefault="00DC54BE" w:rsidP="00DC54BE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DC54B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Русия също полагат усилия за популяризиране на своите продукти на пазарите на Филипините, Индия, Афганистан, Китай, Южна Корея, Венецуела, Колумбия, Перу и Мексико.</w:t>
      </w:r>
    </w:p>
    <w:p w:rsidR="009C0544" w:rsidRDefault="00DC54BE" w:rsidP="00DC54BE">
      <w:pPr>
        <w:pStyle w:val="NoSpacing"/>
        <w:spacing w:line="276" w:lineRule="auto"/>
        <w:jc w:val="right"/>
      </w:pPr>
      <w:hyperlink r:id="rId7" w:history="1">
        <w:r w:rsidRPr="00DC54BE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http://agrovesti.net/</w:t>
        </w:r>
      </w:hyperlink>
      <w:r>
        <w:rPr>
          <w:rStyle w:val="Hyperlink"/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</w:p>
    <w:sectPr w:rsidR="009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BE"/>
    <w:rsid w:val="009C0544"/>
    <w:rsid w:val="00D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4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4B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C54BE"/>
  </w:style>
  <w:style w:type="paragraph" w:styleId="NormalWeb">
    <w:name w:val="Normal (Web)"/>
    <w:basedOn w:val="Normal"/>
    <w:uiPriority w:val="99"/>
    <w:unhideWhenUsed/>
    <w:rsid w:val="00D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4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4B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C54BE"/>
  </w:style>
  <w:style w:type="paragraph" w:styleId="NormalWeb">
    <w:name w:val="Normal (Web)"/>
    <w:basedOn w:val="Normal"/>
    <w:uiPriority w:val="99"/>
    <w:unhideWhenUsed/>
    <w:rsid w:val="00D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vesti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Общо</c:v>
                </c:pt>
                <c:pt idx="1">
                  <c:v>Зърнени култури</c:v>
                </c:pt>
                <c:pt idx="2">
                  <c:v>Пшеница</c:v>
                </c:pt>
                <c:pt idx="3">
                  <c:v>Ечемик</c:v>
                </c:pt>
                <c:pt idx="4">
                  <c:v>Царевица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10.3</c:v>
                </c:pt>
                <c:pt idx="1">
                  <c:v>9</c:v>
                </c:pt>
                <c:pt idx="2">
                  <c:v>7.6</c:v>
                </c:pt>
                <c:pt idx="3">
                  <c:v>1.1000000000000001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Общо</c:v>
                </c:pt>
                <c:pt idx="1">
                  <c:v>Зърнени култури</c:v>
                </c:pt>
                <c:pt idx="2">
                  <c:v>Пшеница</c:v>
                </c:pt>
                <c:pt idx="3">
                  <c:v>Ечемик</c:v>
                </c:pt>
                <c:pt idx="4">
                  <c:v>Царевица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12.6</c:v>
                </c:pt>
                <c:pt idx="1">
                  <c:v>11.8</c:v>
                </c:pt>
                <c:pt idx="2">
                  <c:v>9.1</c:v>
                </c:pt>
                <c:pt idx="3">
                  <c:v>2</c:v>
                </c:pt>
                <c:pt idx="4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Общо</c:v>
                </c:pt>
                <c:pt idx="1">
                  <c:v>Зърнени култури</c:v>
                </c:pt>
                <c:pt idx="2">
                  <c:v>Пшеница</c:v>
                </c:pt>
                <c:pt idx="3">
                  <c:v>Ечемик</c:v>
                </c:pt>
                <c:pt idx="4">
                  <c:v>Царевица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12.1</c:v>
                </c:pt>
                <c:pt idx="1">
                  <c:v>10.9</c:v>
                </c:pt>
                <c:pt idx="2">
                  <c:v>9</c:v>
                </c:pt>
                <c:pt idx="3">
                  <c:v>1.4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5361152"/>
        <c:axId val="134079232"/>
        <c:axId val="0"/>
      </c:bar3DChart>
      <c:catAx>
        <c:axId val="12536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79232"/>
        <c:crosses val="autoZero"/>
        <c:auto val="1"/>
        <c:lblAlgn val="ctr"/>
        <c:lblOffset val="100"/>
        <c:noMultiLvlLbl val="0"/>
      </c:catAx>
      <c:valAx>
        <c:axId val="13407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61152"/>
        <c:crosses val="autoZero"/>
        <c:crossBetween val="between"/>
      </c:valAx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1</cp:revision>
  <dcterms:created xsi:type="dcterms:W3CDTF">2016-12-14T07:16:00Z</dcterms:created>
  <dcterms:modified xsi:type="dcterms:W3CDTF">2016-12-14T07:18:00Z</dcterms:modified>
</cp:coreProperties>
</file>