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1E" w:rsidRPr="002B631E" w:rsidRDefault="002B631E" w:rsidP="002B631E">
      <w:pPr>
        <w:pStyle w:val="6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2B631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A210D4" wp14:editId="486C5946">
            <wp:simplePos x="0" y="0"/>
            <wp:positionH relativeFrom="column">
              <wp:posOffset>-635</wp:posOffset>
            </wp:positionH>
            <wp:positionV relativeFrom="paragraph">
              <wp:posOffset>44450</wp:posOffset>
            </wp:positionV>
            <wp:extent cx="2265045" cy="1513205"/>
            <wp:effectExtent l="0" t="0" r="1905" b="0"/>
            <wp:wrapSquare wrapText="bothSides"/>
            <wp:docPr id="3" name="Рисунок 3" descr="Картинки по запросу картинки варенья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варенья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 ПРЕГЛЕД НА РУСКИЯ ПАЗАР НА КОНФИТЮРИ,</w:t>
      </w:r>
      <w:r w:rsidRPr="002B631E">
        <w:t xml:space="preserve"> </w:t>
      </w: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ЖЕЛЕТА, СЛАДКА, МАРМАЛАДИ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Ключовите тенденции на  руския пазар на конфитюри през 2015 г. са: снижаване на обемите на пазара, намаляване на вноса и увеличаване на дела на местните производители.</w:t>
      </w:r>
      <w:r w:rsidRPr="002B631E">
        <w:rPr>
          <w:rStyle w:val="a5"/>
          <w:rFonts w:ascii="Verdana" w:hAnsi="Verdana"/>
          <w:color w:val="auto"/>
          <w:sz w:val="20"/>
          <w:szCs w:val="20"/>
          <w:u w:val="none"/>
        </w:rPr>
        <w:t xml:space="preserve"> </w:t>
      </w: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За да се направи оценка на руския пазар на конфитюри, целият внос е разделен на следните категории: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Конфитюри, желета, сладка, мармалади за продажба на дребно. Тази продукция заема около 9% от общия обем на вноса в реално изражение. Основните производители в този сегмент са фирмите Zuegg S.p.A. (Италия), Ikea Foods Services AB (Швеция), "Хачмас Экспериментал Консерв" (Азербайджан), включително и китайски производители.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Хомогенизирани бебешки храни за продажба на дребно. Делът на този сегмент е около 13% от общия обем на вноса в реално изражение. Водещи производители в този сегмент са Delimex De Mexico S.A. (Мексико, TM Heinz), Nestle Polska, S.A. (Полша, TM Gerber) и Go Fruselva, S.L.U. (Испания, TM "Агуша").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Сладка, мармалади, конфитюри за използване в хранително-вкусовата промишленост, основно за сладкарски изделия и производство на млечни продукти. Делът на сегмента в реално изражение е в порядъка на 3-5% от общия внос. Основните производители в този сегмент са фирмите Lonran (Китай), Futurcorp S.A. (Еквадор), Viomar S.A. (Гърция), Indulleida S.A. (Испания), Vortumnus Sp. Z o.o. (Полша) и други.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Плодови пюрета за производство на сокове и нектари. Делът на сегмента в реално изражение е в порядъка на 20% от общия внос. Ключови доставчици - Aspis S.A. (Гърция), Langeberg &amp; Аштън Foods (Pty) Ltd. (ЮАР), Nufri SAT 1597 (Испания), Agricultural coop. of Venus Growers (Гърция) и др.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Концентрирано плодово пюре за производство на мармалади, конфитюри и други видове продукти. Делът на сегмента е около 53% в реално изражение. Ключови доставчици в този сегмент - Almme S.A. (Гърция), Ceres Fruit Juices Pty Ltd (ЮАР), Yecheng Yiyuan Fruit Industry Co. (Китай), Empresas Carozzi S.A. (Чили), Kamnoosh Food Industries Co. (Иран) и други.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Получава се, че делът на конфитюрите (за търговия на дребно и хранително-вкусовата промишленост) е около 14% от общия внос на продукти.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i w:val="0"/>
          <w:color w:val="auto"/>
          <w:sz w:val="18"/>
          <w:szCs w:val="18"/>
          <w:u w:val="none"/>
          <w:lang w:val="bg-BG"/>
        </w:rPr>
      </w:pPr>
      <w:r w:rsidRPr="002B631E">
        <w:rPr>
          <w:rStyle w:val="a5"/>
          <w:rFonts w:ascii="Verdana" w:hAnsi="Verdana"/>
          <w:i w:val="0"/>
          <w:color w:val="auto"/>
          <w:sz w:val="18"/>
          <w:szCs w:val="18"/>
          <w:u w:val="none"/>
          <w:lang w:val="bg-BG"/>
        </w:rPr>
        <w:t>Структура на импорта на конфитюри, пюрета, сладка, мармалади по сегменти през 2015 г. в реално изражение, %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2B631E">
        <w:rPr>
          <w:rFonts w:eastAsia="Times New Roman" w:cs="Times New Roman"/>
          <w:noProof/>
          <w:color w:val="FF0000"/>
          <w:lang w:eastAsia="ru-RU"/>
        </w:rPr>
        <w:drawing>
          <wp:inline distT="0" distB="0" distL="0" distR="0" wp14:anchorId="7FA9BE79" wp14:editId="2DFD2550">
            <wp:extent cx="4930444" cy="1682496"/>
            <wp:effectExtent l="0" t="0" r="381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lastRenderedPageBreak/>
        <w:t>Вносът в Русия на конфитюри, пюрета, сладка и мармалади.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Общо за 2015 г. са били внесени 105 хиляди тона конфитюри, пюре, сладка и мармалади, което е с 24% по-малко от 2014 г. (138 хиляди тона)*. През първото тримесечие на 2016 г. вносът възлиза на 13 хиляди тона.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В стойностно изражение за 2015 г., обемът на вноса на разглежданите продукти е в размер на 121 милиона долара, което е с 30% по-малко от показателите през 2014 г. (173 милиона долара). През първото тримесечие на 2016 г. в Русия са били внесени конфитюри, пюрета, сладка и мармалади на сума 15,6 милиона долара.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Основните страни вносителки през 2015 г. в реално изражение са ЮАР (15%), Беларус (17%), Еквадор (14%), Чили (13%) и Испания (11%).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В стойностно изражение през 2015 г., лидери на този пазар са били Чили (26%), Китай (10%), Еквадор (10%) и ЮАР (10%).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B631E" w:rsidRPr="002B631E" w:rsidRDefault="002B631E" w:rsidP="002B631E">
      <w:pPr>
        <w:pStyle w:val="6"/>
        <w:rPr>
          <w:rStyle w:val="a5"/>
          <w:rFonts w:ascii="Verdana" w:hAnsi="Verdana"/>
          <w:i w:val="0"/>
          <w:color w:val="auto"/>
          <w:sz w:val="18"/>
          <w:szCs w:val="18"/>
          <w:u w:val="none"/>
          <w:lang w:val="bg-BG"/>
        </w:rPr>
      </w:pPr>
      <w:r w:rsidRPr="002B631E">
        <w:rPr>
          <w:rStyle w:val="a5"/>
          <w:rFonts w:ascii="Verdana" w:hAnsi="Verdana"/>
          <w:i w:val="0"/>
          <w:color w:val="auto"/>
          <w:sz w:val="18"/>
          <w:szCs w:val="18"/>
          <w:u w:val="none"/>
          <w:lang w:val="bg-BG"/>
        </w:rPr>
        <w:t>Обем на импорта на конфитюри, пюрета, сладка и мармалади по страни за 2013 г. – март 2016 г./ милиона долари САЩ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i w:val="0"/>
          <w:color w:val="auto"/>
          <w:sz w:val="18"/>
          <w:szCs w:val="18"/>
          <w:u w:val="none"/>
          <w:lang w:val="bg-BG"/>
        </w:rPr>
      </w:pPr>
    </w:p>
    <w:tbl>
      <w:tblPr>
        <w:tblStyle w:val="3-21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549"/>
        <w:gridCol w:w="1549"/>
        <w:gridCol w:w="1549"/>
        <w:gridCol w:w="1840"/>
      </w:tblGrid>
      <w:tr w:rsidR="002B631E" w:rsidRPr="002B631E" w:rsidTr="00DE1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2B631E" w:rsidRPr="002B631E" w:rsidRDefault="002B631E" w:rsidP="002B631E">
            <w:pPr>
              <w:pStyle w:val="6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Страна на произход</w:t>
            </w:r>
          </w:p>
        </w:tc>
        <w:tc>
          <w:tcPr>
            <w:tcW w:w="1549" w:type="dxa"/>
            <w:vAlign w:val="center"/>
          </w:tcPr>
          <w:p w:rsidR="002B631E" w:rsidRPr="002B631E" w:rsidRDefault="002B631E" w:rsidP="002B631E">
            <w:pPr>
              <w:pStyle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2013 г.</w:t>
            </w:r>
          </w:p>
        </w:tc>
        <w:tc>
          <w:tcPr>
            <w:tcW w:w="1549" w:type="dxa"/>
            <w:vAlign w:val="center"/>
          </w:tcPr>
          <w:p w:rsidR="002B631E" w:rsidRPr="002B631E" w:rsidRDefault="002B631E" w:rsidP="002B631E">
            <w:pPr>
              <w:pStyle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2014 г.</w:t>
            </w:r>
          </w:p>
        </w:tc>
        <w:tc>
          <w:tcPr>
            <w:tcW w:w="1549" w:type="dxa"/>
            <w:vAlign w:val="center"/>
          </w:tcPr>
          <w:p w:rsidR="002B631E" w:rsidRPr="002B631E" w:rsidRDefault="002B631E" w:rsidP="002B631E">
            <w:pPr>
              <w:pStyle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2015 г.</w:t>
            </w:r>
          </w:p>
        </w:tc>
        <w:tc>
          <w:tcPr>
            <w:tcW w:w="1840" w:type="dxa"/>
            <w:vAlign w:val="center"/>
          </w:tcPr>
          <w:p w:rsidR="002B631E" w:rsidRPr="002B631E" w:rsidRDefault="002B631E" w:rsidP="002B631E">
            <w:pPr>
              <w:pStyle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Януари-март 2016 г.</w:t>
            </w:r>
          </w:p>
        </w:tc>
      </w:tr>
      <w:tr w:rsidR="002B631E" w:rsidRPr="002B631E" w:rsidTr="00DE1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B631E" w:rsidRPr="002B631E" w:rsidRDefault="002B631E" w:rsidP="002B631E">
            <w:pPr>
              <w:pStyle w:val="6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Испания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18,5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33,6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23,4</w:t>
            </w:r>
          </w:p>
        </w:tc>
        <w:tc>
          <w:tcPr>
            <w:tcW w:w="1840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4,1</w:t>
            </w:r>
          </w:p>
        </w:tc>
      </w:tr>
      <w:tr w:rsidR="002B631E" w:rsidRPr="002B631E" w:rsidTr="00DE12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B631E" w:rsidRPr="002B631E" w:rsidRDefault="002B631E" w:rsidP="002B631E">
            <w:pPr>
              <w:pStyle w:val="6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Чили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26,9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31,1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14,7</w:t>
            </w:r>
          </w:p>
        </w:tc>
        <w:tc>
          <w:tcPr>
            <w:tcW w:w="1840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1,5</w:t>
            </w:r>
          </w:p>
        </w:tc>
      </w:tr>
      <w:tr w:rsidR="002B631E" w:rsidRPr="002B631E" w:rsidTr="00DE1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B631E" w:rsidRPr="002B631E" w:rsidRDefault="002B631E" w:rsidP="002B631E">
            <w:pPr>
              <w:pStyle w:val="6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Гърция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21,5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16,8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12,3</w:t>
            </w:r>
          </w:p>
        </w:tc>
        <w:tc>
          <w:tcPr>
            <w:tcW w:w="1840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0</w:t>
            </w:r>
          </w:p>
        </w:tc>
      </w:tr>
      <w:tr w:rsidR="002B631E" w:rsidRPr="002B631E" w:rsidTr="00DE12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B631E" w:rsidRPr="002B631E" w:rsidRDefault="002B631E" w:rsidP="002B631E">
            <w:pPr>
              <w:pStyle w:val="6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ЮАР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17,8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12,1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17,2</w:t>
            </w:r>
          </w:p>
        </w:tc>
        <w:tc>
          <w:tcPr>
            <w:tcW w:w="1840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1,6</w:t>
            </w:r>
          </w:p>
        </w:tc>
      </w:tr>
      <w:tr w:rsidR="002B631E" w:rsidRPr="002B631E" w:rsidTr="00DE1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B631E" w:rsidRPr="002B631E" w:rsidRDefault="002B631E" w:rsidP="002B631E">
            <w:pPr>
              <w:pStyle w:val="6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Полша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10,4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10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7,1</w:t>
            </w:r>
          </w:p>
        </w:tc>
        <w:tc>
          <w:tcPr>
            <w:tcW w:w="1840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1,6</w:t>
            </w:r>
          </w:p>
        </w:tc>
      </w:tr>
      <w:tr w:rsidR="002B631E" w:rsidRPr="002B631E" w:rsidTr="00DE12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B631E" w:rsidRPr="002B631E" w:rsidRDefault="002B631E" w:rsidP="002B631E">
            <w:pPr>
              <w:pStyle w:val="6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Китай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8,4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7,2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6,9</w:t>
            </w:r>
          </w:p>
        </w:tc>
        <w:tc>
          <w:tcPr>
            <w:tcW w:w="1840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0,3</w:t>
            </w:r>
          </w:p>
        </w:tc>
      </w:tr>
      <w:tr w:rsidR="002B631E" w:rsidRPr="002B631E" w:rsidTr="00DE1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B631E" w:rsidRPr="002B631E" w:rsidRDefault="002B631E" w:rsidP="002B631E">
            <w:pPr>
              <w:pStyle w:val="6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Еквадор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6,6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6,9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4,7</w:t>
            </w:r>
          </w:p>
        </w:tc>
        <w:tc>
          <w:tcPr>
            <w:tcW w:w="1840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1,1</w:t>
            </w:r>
          </w:p>
        </w:tc>
      </w:tr>
      <w:tr w:rsidR="002B631E" w:rsidRPr="002B631E" w:rsidTr="00DE12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B631E" w:rsidRPr="002B631E" w:rsidRDefault="002B631E" w:rsidP="002B631E">
            <w:pPr>
              <w:pStyle w:val="6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Италия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5,9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6,9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5,6</w:t>
            </w:r>
          </w:p>
        </w:tc>
        <w:tc>
          <w:tcPr>
            <w:tcW w:w="1840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0,8</w:t>
            </w:r>
          </w:p>
        </w:tc>
      </w:tr>
      <w:tr w:rsidR="002B631E" w:rsidRPr="002B631E" w:rsidTr="00DE1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B631E" w:rsidRPr="002B631E" w:rsidRDefault="002B631E" w:rsidP="002B631E">
            <w:pPr>
              <w:pStyle w:val="6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Франция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5,2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7,3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3,2</w:t>
            </w:r>
          </w:p>
        </w:tc>
        <w:tc>
          <w:tcPr>
            <w:tcW w:w="1840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0,4</w:t>
            </w:r>
          </w:p>
        </w:tc>
      </w:tr>
      <w:tr w:rsidR="002B631E" w:rsidRPr="002B631E" w:rsidTr="00DE12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B631E" w:rsidRPr="002B631E" w:rsidRDefault="002B631E" w:rsidP="002B631E">
            <w:pPr>
              <w:pStyle w:val="6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Беларус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2,5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6,1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5,6</w:t>
            </w:r>
          </w:p>
        </w:tc>
        <w:tc>
          <w:tcPr>
            <w:tcW w:w="1840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</w:t>
            </w:r>
          </w:p>
        </w:tc>
      </w:tr>
      <w:tr w:rsidR="002B631E" w:rsidRPr="002B631E" w:rsidTr="00DE1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B631E" w:rsidRPr="002B631E" w:rsidRDefault="002B631E" w:rsidP="002B631E">
            <w:pPr>
              <w:pStyle w:val="6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Иран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8,8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4,8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1,1</w:t>
            </w:r>
          </w:p>
        </w:tc>
        <w:tc>
          <w:tcPr>
            <w:tcW w:w="1840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0,4</w:t>
            </w:r>
          </w:p>
        </w:tc>
      </w:tr>
      <w:tr w:rsidR="002B631E" w:rsidRPr="002B631E" w:rsidTr="00DE12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B631E" w:rsidRPr="002B631E" w:rsidRDefault="002B631E" w:rsidP="002B631E">
            <w:pPr>
              <w:pStyle w:val="6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ОБЩО: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165,1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172,6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121,1</w:t>
            </w:r>
          </w:p>
        </w:tc>
        <w:tc>
          <w:tcPr>
            <w:tcW w:w="1840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15,6</w:t>
            </w:r>
          </w:p>
        </w:tc>
      </w:tr>
    </w:tbl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18"/>
          <w:szCs w:val="18"/>
          <w:u w:val="none"/>
          <w:lang w:val="bg-BG"/>
        </w:rPr>
      </w:pPr>
    </w:p>
    <w:p w:rsidR="002B631E" w:rsidRPr="002B631E" w:rsidRDefault="002B631E" w:rsidP="002B631E">
      <w:pPr>
        <w:pStyle w:val="6"/>
        <w:rPr>
          <w:rStyle w:val="a5"/>
          <w:rFonts w:ascii="Verdana" w:hAnsi="Verdana"/>
          <w:i w:val="0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i w:val="0"/>
          <w:color w:val="auto"/>
          <w:sz w:val="20"/>
          <w:szCs w:val="20"/>
          <w:u w:val="none"/>
          <w:lang w:val="bg-BG"/>
        </w:rPr>
        <w:t>*включва вноса от страните от Митническия съюз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i w:val="0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i w:val="0"/>
          <w:color w:val="auto"/>
          <w:sz w:val="20"/>
          <w:szCs w:val="20"/>
          <w:u w:val="none"/>
          <w:lang w:val="bg-BG"/>
        </w:rPr>
        <w:t>Източник: ФТС (Федерална митническа служба)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lastRenderedPageBreak/>
        <w:t>От Чили се внасят пюрета от кайсии, праскови, ябълки, круши и други видове, предназначени за по-нататъшното производство на конфитюри и сладка. Ключови доставчици на чилийска продукция са компаниите Empresas Carozzi S.A., Conservera Pentzke, S.A. и Sugal Chile.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От ЮАР се внасят концентрати на пюрета от круши и праскови, а ключови доставчици са фирмите Boland Pulp (Pty) Ltd. и Ceres Fruit Juices Pty Ltd. От Еквадор се внася бананово пюре, като основни вносители са Futurcorp S.A. и Banalight С.А. Гърция. Испания доставя в Русия предимно пюре от праскови. Основните доставчици на този продукт са гръцките Almme S.A., Danais S.A. и Hellenic Juice Industry Aspis S.A., испанските Tomates Del Guadiana S.Coop. и Arofa S.L. Китай импортира кайсиево пюре, като основни доставчици са Yecheng Yiyuan Fruit Industry Co., Luntai Hualong Agriculture &amp; Forestry Development Co и Senwang Food.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Основният обем от руския износ на пюрета, конфитюри и мармалади е насочен към Казахстан, Украйна, Беларус и Монголия.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Обемът на руското производство на конфитюр, мармалад, пюре и сладко през 2015 г. е бил 158,6 хиляди тона, което е с 11% повече от 2014 г. (143.4 хиляди тона).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B631E" w:rsidRPr="002B631E" w:rsidRDefault="002B631E" w:rsidP="002B631E">
      <w:pPr>
        <w:pStyle w:val="6"/>
        <w:rPr>
          <w:rStyle w:val="a5"/>
          <w:rFonts w:ascii="Verdana" w:hAnsi="Verdana"/>
          <w:i w:val="0"/>
          <w:color w:val="auto"/>
          <w:sz w:val="18"/>
          <w:szCs w:val="18"/>
          <w:u w:val="none"/>
          <w:lang w:val="bg-BG"/>
        </w:rPr>
      </w:pPr>
      <w:r w:rsidRPr="002B631E">
        <w:rPr>
          <w:rStyle w:val="a5"/>
          <w:rFonts w:ascii="Verdana" w:hAnsi="Verdana"/>
          <w:i w:val="0"/>
          <w:color w:val="auto"/>
          <w:sz w:val="18"/>
          <w:szCs w:val="18"/>
          <w:u w:val="none"/>
          <w:lang w:val="bg-BG"/>
        </w:rPr>
        <w:t>Обем на производството на конфитюри, пюрета, сладка, мармалади за 2010 г. – март 2016 г./хил.т.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18"/>
          <w:szCs w:val="18"/>
          <w:u w:val="none"/>
          <w:lang w:val="bg-BG"/>
        </w:rPr>
      </w:pP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18"/>
          <w:szCs w:val="18"/>
          <w:u w:val="none"/>
          <w:lang w:val="bg-BG"/>
        </w:rPr>
      </w:pPr>
      <w:r w:rsidRPr="002B631E">
        <w:rPr>
          <w:noProof/>
          <w:lang w:eastAsia="ru-RU"/>
        </w:rPr>
        <w:drawing>
          <wp:inline distT="0" distB="0" distL="0" distR="0" wp14:anchorId="638D438E" wp14:editId="3D658217">
            <wp:extent cx="4349750" cy="2222500"/>
            <wp:effectExtent l="0" t="0" r="0" b="63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18"/>
          <w:szCs w:val="18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18"/>
          <w:szCs w:val="18"/>
          <w:u w:val="none"/>
          <w:lang w:val="bg-BG"/>
        </w:rPr>
        <w:t>Източник: Росстат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18"/>
          <w:szCs w:val="18"/>
          <w:u w:val="none"/>
          <w:lang w:val="bg-BG"/>
        </w:rPr>
      </w:pP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В структурата на вътрешното производство най-голям дял има Централен федерален окръг (59% за 2015 г.), което се дължи на високата концентрация на населението и предприятията от хранително-вкусовата промишленост в тази област.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Следват Приволжски и Сибирски федерален окръг, чиито дял е съответно 14% и 12% от производството.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Обемът на предложенията на руския пазар на мармалад, конфитюр и пюрета през 2015 г. възлиза на 171 хиляди тона, което е с 4% повече от 2014 г. (165 хиляди тона).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B631E" w:rsidRPr="002B631E" w:rsidRDefault="002B631E" w:rsidP="002B631E">
      <w:pPr>
        <w:pStyle w:val="6"/>
        <w:rPr>
          <w:rStyle w:val="a5"/>
          <w:rFonts w:ascii="Verdana" w:hAnsi="Verdana"/>
          <w:i w:val="0"/>
          <w:color w:val="auto"/>
          <w:sz w:val="18"/>
          <w:szCs w:val="18"/>
          <w:u w:val="none"/>
          <w:lang w:val="bg-BG"/>
        </w:rPr>
      </w:pPr>
      <w:r w:rsidRPr="002B631E">
        <w:rPr>
          <w:rStyle w:val="a5"/>
          <w:rFonts w:ascii="Verdana" w:hAnsi="Verdana"/>
          <w:i w:val="0"/>
          <w:color w:val="auto"/>
          <w:sz w:val="18"/>
          <w:szCs w:val="18"/>
          <w:u w:val="none"/>
          <w:lang w:val="bg-BG"/>
        </w:rPr>
        <w:t>Обем на пазара на конфитюри, мармалади, сладка за 2013 г. – март 2016 г./хиляди тона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i w:val="0"/>
          <w:color w:val="auto"/>
          <w:sz w:val="18"/>
          <w:szCs w:val="18"/>
          <w:u w:val="none"/>
          <w:lang w:val="bg-BG"/>
        </w:rPr>
      </w:pPr>
    </w:p>
    <w:tbl>
      <w:tblPr>
        <w:tblStyle w:val="3-22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549"/>
        <w:gridCol w:w="1549"/>
        <w:gridCol w:w="1549"/>
        <w:gridCol w:w="1840"/>
      </w:tblGrid>
      <w:tr w:rsidR="002B631E" w:rsidRPr="002B631E" w:rsidTr="00DE1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2B631E" w:rsidRPr="002B631E" w:rsidRDefault="002B631E" w:rsidP="002B631E">
            <w:pPr>
              <w:pStyle w:val="6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ПОКАЗАТЕЛИ</w:t>
            </w:r>
          </w:p>
        </w:tc>
        <w:tc>
          <w:tcPr>
            <w:tcW w:w="1549" w:type="dxa"/>
            <w:vAlign w:val="center"/>
          </w:tcPr>
          <w:p w:rsidR="002B631E" w:rsidRPr="002B631E" w:rsidRDefault="002B631E" w:rsidP="002B631E">
            <w:pPr>
              <w:pStyle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2013 г.</w:t>
            </w:r>
          </w:p>
        </w:tc>
        <w:tc>
          <w:tcPr>
            <w:tcW w:w="1549" w:type="dxa"/>
            <w:vAlign w:val="center"/>
          </w:tcPr>
          <w:p w:rsidR="002B631E" w:rsidRPr="002B631E" w:rsidRDefault="002B631E" w:rsidP="002B631E">
            <w:pPr>
              <w:pStyle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2014 г.</w:t>
            </w:r>
          </w:p>
        </w:tc>
        <w:tc>
          <w:tcPr>
            <w:tcW w:w="1549" w:type="dxa"/>
            <w:vAlign w:val="center"/>
          </w:tcPr>
          <w:p w:rsidR="002B631E" w:rsidRPr="002B631E" w:rsidRDefault="002B631E" w:rsidP="002B631E">
            <w:pPr>
              <w:pStyle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2015 г.</w:t>
            </w:r>
          </w:p>
        </w:tc>
        <w:tc>
          <w:tcPr>
            <w:tcW w:w="1840" w:type="dxa"/>
            <w:vAlign w:val="center"/>
          </w:tcPr>
          <w:p w:rsidR="002B631E" w:rsidRPr="002B631E" w:rsidRDefault="002B631E" w:rsidP="002B631E">
            <w:pPr>
              <w:pStyle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Януари-март 2016 г.</w:t>
            </w:r>
          </w:p>
        </w:tc>
      </w:tr>
      <w:tr w:rsidR="002B631E" w:rsidRPr="002B631E" w:rsidTr="00DE1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B631E" w:rsidRPr="002B631E" w:rsidRDefault="002B631E" w:rsidP="002B631E">
            <w:pPr>
              <w:pStyle w:val="6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Производство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123,2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143,4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158,6</w:t>
            </w:r>
          </w:p>
        </w:tc>
        <w:tc>
          <w:tcPr>
            <w:tcW w:w="1840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35,9</w:t>
            </w:r>
          </w:p>
        </w:tc>
      </w:tr>
      <w:tr w:rsidR="002B631E" w:rsidRPr="002B631E" w:rsidTr="00DE12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B631E" w:rsidRPr="002B631E" w:rsidRDefault="002B631E" w:rsidP="002B631E">
            <w:pPr>
              <w:pStyle w:val="6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Импорт*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29,8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33,2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25,1</w:t>
            </w:r>
          </w:p>
        </w:tc>
        <w:tc>
          <w:tcPr>
            <w:tcW w:w="1840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13,1</w:t>
            </w:r>
          </w:p>
        </w:tc>
      </w:tr>
      <w:tr w:rsidR="002B631E" w:rsidRPr="002B631E" w:rsidTr="00DE1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B631E" w:rsidRPr="002B631E" w:rsidRDefault="002B631E" w:rsidP="002B631E">
            <w:pPr>
              <w:pStyle w:val="6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Експорт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10,3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11,9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13,2</w:t>
            </w:r>
          </w:p>
        </w:tc>
        <w:tc>
          <w:tcPr>
            <w:tcW w:w="1840" w:type="dxa"/>
          </w:tcPr>
          <w:p w:rsidR="002B631E" w:rsidRPr="002B631E" w:rsidRDefault="002B631E" w:rsidP="002B631E">
            <w:pPr>
              <w:pStyle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2,7</w:t>
            </w:r>
          </w:p>
        </w:tc>
      </w:tr>
      <w:tr w:rsidR="002B631E" w:rsidRPr="002B631E" w:rsidTr="00DE12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B631E" w:rsidRPr="002B631E" w:rsidRDefault="002B631E" w:rsidP="002B631E">
            <w:pPr>
              <w:pStyle w:val="6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Предложение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142,7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164,6</w:t>
            </w:r>
          </w:p>
        </w:tc>
        <w:tc>
          <w:tcPr>
            <w:tcW w:w="1549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170,5</w:t>
            </w:r>
          </w:p>
        </w:tc>
        <w:tc>
          <w:tcPr>
            <w:tcW w:w="1840" w:type="dxa"/>
          </w:tcPr>
          <w:p w:rsidR="002B631E" w:rsidRPr="002B631E" w:rsidRDefault="002B631E" w:rsidP="002B631E">
            <w:pPr>
              <w:pStyle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bg-BG"/>
              </w:rPr>
            </w:pPr>
            <w:r w:rsidRPr="002B631E">
              <w:rPr>
                <w:rFonts w:eastAsia="Calibri" w:cs="Times New Roman"/>
                <w:lang w:val="bg-BG"/>
              </w:rPr>
              <w:t>46,3</w:t>
            </w:r>
          </w:p>
        </w:tc>
      </w:tr>
    </w:tbl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B631E" w:rsidRPr="002B631E" w:rsidRDefault="002B631E" w:rsidP="002B631E">
      <w:pPr>
        <w:pStyle w:val="6"/>
        <w:rPr>
          <w:rStyle w:val="a5"/>
          <w:rFonts w:ascii="Verdana" w:hAnsi="Verdana"/>
          <w:i w:val="0"/>
          <w:color w:val="auto"/>
          <w:sz w:val="18"/>
          <w:szCs w:val="18"/>
          <w:u w:val="none"/>
          <w:lang w:val="bg-BG"/>
        </w:rPr>
      </w:pPr>
      <w:r w:rsidRPr="002B631E">
        <w:rPr>
          <w:rStyle w:val="a5"/>
          <w:rFonts w:ascii="Verdana" w:hAnsi="Verdana"/>
          <w:i w:val="0"/>
          <w:color w:val="auto"/>
          <w:sz w:val="18"/>
          <w:szCs w:val="18"/>
          <w:u w:val="none"/>
          <w:lang w:val="bg-BG"/>
        </w:rPr>
        <w:t>*с изключение на импорта на пюрета и детски храни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i w:val="0"/>
          <w:color w:val="auto"/>
          <w:sz w:val="18"/>
          <w:szCs w:val="18"/>
          <w:u w:val="none"/>
          <w:lang w:val="bg-BG"/>
        </w:rPr>
      </w:pPr>
      <w:r w:rsidRPr="002B631E">
        <w:rPr>
          <w:rStyle w:val="a5"/>
          <w:rFonts w:ascii="Verdana" w:hAnsi="Verdana"/>
          <w:i w:val="0"/>
          <w:color w:val="auto"/>
          <w:sz w:val="18"/>
          <w:szCs w:val="18"/>
          <w:u w:val="none"/>
          <w:lang w:val="bg-BG"/>
        </w:rPr>
        <w:t xml:space="preserve">Източник: Росстат  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18"/>
          <w:szCs w:val="18"/>
          <w:u w:val="none"/>
          <w:lang w:val="bg-BG"/>
        </w:rPr>
      </w:pP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Пазарът е нараснал в резултат на увеличението на производството и намаляването на вноса. Делът на вносните продукти е 15% в реално изражение.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Цената на дребно на конфитюри през 2015 г. е нараснала със средно 25% и на стойност около 233 рубли за килограм**. През първото тримесечие на 2016 г. средната цена на дребно е достигнала 265 рубли за килограм. Покачването на цените е вследствие на девалвацията на рублата и нарастващите цени на вносните суровини, чиито дял в производството е 60% от използваните суровини.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По-нататъшно развитие на руския пазар на конфитюри, ще протича, от една страна в условия на нарастване на цените на суровините, от друга страна - спад на реалните доходи на населението. Важен фактор е и любовта на руснаците към традиционните домашни мармалади, конфитюри и компоти. Във връзка с това, се наблюдава интересна тенденция: постепенен отказ от собствените заготовки и избор на фабричните продукти. Разбира се, тази тенденция е много слаба, но ускоряването на урбанизацията и ускорения ритъм на живот, оказват своето влияние.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Втората тенденция, според експерти на I-Marketing, е използването от производителите на все повече ароматизанти: в условията на постоянно повишаване на цените на суровините и спада на реалните доходи на населението, остро възниква въпроса за намаляване на разходите за производство. Тази тенденция от части се потвърждава от ръста на вътрешното производство и намаляването на вноса. Може да се говори за заместване на вноса (от една страна това е така), но Русия не произвежда достатъчни количества плодове, като праскови, кайсии и круши, предназначени за промишлена преработка.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B631E" w:rsidRPr="002B631E" w:rsidRDefault="002B631E" w:rsidP="002B631E">
      <w:pPr>
        <w:pStyle w:val="6"/>
        <w:rPr>
          <w:rStyle w:val="a5"/>
          <w:rFonts w:ascii="Verdana" w:hAnsi="Verdana"/>
          <w:i w:val="0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i w:val="0"/>
          <w:color w:val="auto"/>
          <w:sz w:val="20"/>
          <w:szCs w:val="20"/>
          <w:u w:val="none"/>
          <w:lang w:val="bg-BG"/>
        </w:rPr>
        <w:t>* Има се предвид вносът от страните на Митническия съюз</w:t>
      </w:r>
    </w:p>
    <w:p w:rsidR="002B631E" w:rsidRPr="002B631E" w:rsidRDefault="002B631E" w:rsidP="002B631E">
      <w:pPr>
        <w:pStyle w:val="6"/>
        <w:rPr>
          <w:rStyle w:val="a5"/>
          <w:rFonts w:ascii="Verdana" w:hAnsi="Verdana"/>
          <w:i w:val="0"/>
          <w:color w:val="auto"/>
          <w:sz w:val="20"/>
          <w:szCs w:val="20"/>
          <w:u w:val="none"/>
          <w:lang w:val="bg-BG"/>
        </w:rPr>
      </w:pPr>
      <w:r w:rsidRPr="002B631E">
        <w:rPr>
          <w:rStyle w:val="a5"/>
          <w:rFonts w:ascii="Verdana" w:hAnsi="Verdana"/>
          <w:i w:val="0"/>
          <w:color w:val="auto"/>
          <w:sz w:val="20"/>
          <w:szCs w:val="20"/>
          <w:u w:val="none"/>
          <w:lang w:val="bg-BG"/>
        </w:rPr>
        <w:t>**С включен НДС</w:t>
      </w:r>
    </w:p>
    <w:p w:rsidR="00513671" w:rsidRPr="002B631E" w:rsidRDefault="002B631E" w:rsidP="002B631E">
      <w:pPr>
        <w:pStyle w:val="6"/>
        <w:rPr>
          <w:lang w:val="bg-BG"/>
        </w:rPr>
      </w:pPr>
      <w:hyperlink r:id="rId10" w:history="1">
        <w:r w:rsidRPr="002B631E">
          <w:rPr>
            <w:rStyle w:val="a5"/>
            <w:rFonts w:ascii="Verdana" w:hAnsi="Verdana"/>
            <w:sz w:val="20"/>
            <w:szCs w:val="20"/>
            <w:u w:val="none"/>
            <w:lang w:val="bg-BG"/>
          </w:rPr>
          <w:t>http://www.foodmarket.spb.ru/</w:t>
        </w:r>
      </w:hyperlink>
      <w:r w:rsidRPr="002B631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 </w:t>
      </w:r>
      <w:bookmarkStart w:id="0" w:name="_GoBack"/>
      <w:bookmarkEnd w:id="0"/>
    </w:p>
    <w:sectPr w:rsidR="00513671" w:rsidRPr="002B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BDF"/>
    <w:multiLevelType w:val="hybridMultilevel"/>
    <w:tmpl w:val="21F4FD5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1E"/>
    <w:rsid w:val="002B631E"/>
    <w:rsid w:val="0051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1E"/>
  </w:style>
  <w:style w:type="paragraph" w:styleId="1">
    <w:name w:val="heading 1"/>
    <w:basedOn w:val="a"/>
    <w:next w:val="a"/>
    <w:link w:val="10"/>
    <w:uiPriority w:val="9"/>
    <w:qFormat/>
    <w:rsid w:val="002B6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6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63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63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B63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B63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631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B631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2B631E"/>
  </w:style>
  <w:style w:type="table" w:customStyle="1" w:styleId="3-21">
    <w:name w:val="Средняя сетка 3 - Акцент 21"/>
    <w:basedOn w:val="a1"/>
    <w:next w:val="3-2"/>
    <w:uiPriority w:val="69"/>
    <w:rsid w:val="002B63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22">
    <w:name w:val="Средняя сетка 3 - Акцент 22"/>
    <w:basedOn w:val="a1"/>
    <w:next w:val="3-2"/>
    <w:uiPriority w:val="69"/>
    <w:rsid w:val="002B63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2">
    <w:name w:val="Medium Grid 3 Accent 2"/>
    <w:basedOn w:val="a1"/>
    <w:uiPriority w:val="69"/>
    <w:rsid w:val="002B63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B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31E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2B6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B6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6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6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63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63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63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631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1E"/>
  </w:style>
  <w:style w:type="paragraph" w:styleId="1">
    <w:name w:val="heading 1"/>
    <w:basedOn w:val="a"/>
    <w:next w:val="a"/>
    <w:link w:val="10"/>
    <w:uiPriority w:val="9"/>
    <w:qFormat/>
    <w:rsid w:val="002B6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6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63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63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B63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B63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631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B631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2B631E"/>
  </w:style>
  <w:style w:type="table" w:customStyle="1" w:styleId="3-21">
    <w:name w:val="Средняя сетка 3 - Акцент 21"/>
    <w:basedOn w:val="a1"/>
    <w:next w:val="3-2"/>
    <w:uiPriority w:val="69"/>
    <w:rsid w:val="002B63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22">
    <w:name w:val="Средняя сетка 3 - Акцент 22"/>
    <w:basedOn w:val="a1"/>
    <w:next w:val="3-2"/>
    <w:uiPriority w:val="69"/>
    <w:rsid w:val="002B63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2">
    <w:name w:val="Medium Grid 3 Accent 2"/>
    <w:basedOn w:val="a1"/>
    <w:uiPriority w:val="69"/>
    <w:rsid w:val="002B63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B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31E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2B6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B6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6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6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63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63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63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631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i&amp;rct=j&amp;q=&amp;esrc=s&amp;source=images&amp;cd=&amp;cad=rja&amp;uact=8&amp;ved=0ahUKEwjo7sWey6DPAhVqLZoKHXA_A-UQjRwIBw&amp;url=http://business-poisk.com/proizvodstvo-varenya-kak-biznes.html&amp;psig=AFQjCNFBg64XaTxNLXjWbBBZ-1Qw6CLqkA&amp;ust=147455002931979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odmarket.spb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111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6539807524059502E-2"/>
          <c:y val="2.2817460317460316E-2"/>
          <c:w val="0.35400898400915737"/>
          <c:h val="0.8520613849710136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Berlin Sans FB Demi" panose="020E0802020502020306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пюре за производство на джемове, мармалади и сладка</c:v>
                </c:pt>
                <c:pt idx="1">
                  <c:v>пюре за производство на сокове</c:v>
                </c:pt>
                <c:pt idx="2">
                  <c:v>детски храни</c:v>
                </c:pt>
                <c:pt idx="3">
                  <c:v>джемове за търговия на дребно</c:v>
                </c:pt>
                <c:pt idx="4">
                  <c:v>джемове за сладкарски изделия и млечни продукти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0.53</c:v>
                </c:pt>
                <c:pt idx="1">
                  <c:v>0.2</c:v>
                </c:pt>
                <c:pt idx="2">
                  <c:v>0.13</c:v>
                </c:pt>
                <c:pt idx="3">
                  <c:v>0.09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5953210917844484"/>
          <c:y val="2.039398956548524E-2"/>
          <c:w val="0.43668872120151647"/>
          <c:h val="0.76491201894384231"/>
        </c:manualLayout>
      </c:layout>
      <c:overlay val="0"/>
      <c:txPr>
        <a:bodyPr/>
        <a:lstStyle/>
        <a:p>
          <a:pPr>
            <a:defRPr sz="9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 sz="900" b="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в хиляди тона</a:t>
            </a:r>
          </a:p>
        </c:rich>
      </c:tx>
      <c:layout>
        <c:manualLayout>
          <c:xMode val="edge"/>
          <c:yMode val="edge"/>
          <c:x val="8.3738334791484403E-2"/>
          <c:y val="3.1746031746031744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2.2857142857142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3.4285714285714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2.8571428571428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2257026265878419E-3"/>
                  <c:y val="-7.051968503937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януари-март 2016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103.1</c:v>
                </c:pt>
                <c:pt idx="1">
                  <c:v>109.9</c:v>
                </c:pt>
                <c:pt idx="2">
                  <c:v>151.9</c:v>
                </c:pt>
                <c:pt idx="3">
                  <c:v>123.2</c:v>
                </c:pt>
                <c:pt idx="4">
                  <c:v>143.4</c:v>
                </c:pt>
                <c:pt idx="5">
                  <c:v>158.6</c:v>
                </c:pt>
                <c:pt idx="6">
                  <c:v>35.9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92302208"/>
        <c:axId val="300973440"/>
        <c:axId val="232524416"/>
      </c:bar3DChart>
      <c:catAx>
        <c:axId val="292302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0973440"/>
        <c:crosses val="autoZero"/>
        <c:auto val="1"/>
        <c:lblAlgn val="ctr"/>
        <c:lblOffset val="100"/>
        <c:noMultiLvlLbl val="0"/>
      </c:catAx>
      <c:valAx>
        <c:axId val="30097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302208"/>
        <c:crosses val="autoZero"/>
        <c:crossBetween val="between"/>
      </c:valAx>
      <c:serAx>
        <c:axId val="232524416"/>
        <c:scaling>
          <c:orientation val="minMax"/>
        </c:scaling>
        <c:delete val="1"/>
        <c:axPos val="b"/>
        <c:majorTickMark val="out"/>
        <c:minorTickMark val="none"/>
        <c:tickLblPos val="nextTo"/>
        <c:crossAx val="300973440"/>
        <c:crosses val="autoZero"/>
      </c:serAx>
    </c:plotArea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0.05646</cdr:x>
      <cdr:y>0.07342</cdr:y>
    </cdr:from>
    <cdr:to>
      <cdr:x>0.08077</cdr:x>
      <cdr:y>0.0877</cdr:y>
    </cdr:to>
    <cdr:sp macro="" textlink="">
      <cdr:nvSpPr>
        <cdr:cNvPr id="2" name="Стрелка вправо 1"/>
        <cdr:cNvSpPr/>
      </cdr:nvSpPr>
      <cdr:spPr>
        <a:xfrm xmlns:a="http://schemas.openxmlformats.org/drawingml/2006/main" flipV="1">
          <a:off x="245585" y="163166"/>
          <a:ext cx="105742" cy="31738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stenly</dc:creator>
  <cp:lastModifiedBy>stenly</cp:lastModifiedBy>
  <cp:revision>1</cp:revision>
  <dcterms:created xsi:type="dcterms:W3CDTF">2016-10-10T11:48:00Z</dcterms:created>
  <dcterms:modified xsi:type="dcterms:W3CDTF">2016-10-10T11:49:00Z</dcterms:modified>
</cp:coreProperties>
</file>