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DB3" w:rsidRPr="00B80DB3" w:rsidRDefault="00B80DB3" w:rsidP="00B80DB3">
      <w:pPr>
        <w:pStyle w:val="a3"/>
        <w:spacing w:line="276" w:lineRule="auto"/>
        <w:ind w:firstLine="708"/>
        <w:jc w:val="both"/>
        <w:rPr>
          <w:rStyle w:val="a5"/>
          <w:rFonts w:ascii="Verdana" w:hAnsi="Verdana"/>
          <w:sz w:val="20"/>
          <w:szCs w:val="20"/>
          <w:lang w:val="bg-BG"/>
        </w:rPr>
      </w:pPr>
    </w:p>
    <w:p w:rsidR="00B80DB3" w:rsidRPr="00B80DB3" w:rsidRDefault="00B80DB3" w:rsidP="00B80DB3">
      <w:pPr>
        <w:pStyle w:val="a3"/>
        <w:spacing w:line="276" w:lineRule="auto"/>
        <w:ind w:firstLine="708"/>
        <w:jc w:val="both"/>
        <w:rPr>
          <w:rStyle w:val="a5"/>
          <w:rFonts w:ascii="Verdana" w:hAnsi="Verdana"/>
          <w:sz w:val="20"/>
          <w:szCs w:val="20"/>
          <w:lang w:val="bg-BG"/>
        </w:rPr>
      </w:pPr>
    </w:p>
    <w:p w:rsidR="00B80DB3" w:rsidRPr="00B80DB3" w:rsidRDefault="00B80DB3" w:rsidP="00B80DB3">
      <w:pPr>
        <w:spacing w:after="0"/>
        <w:jc w:val="center"/>
        <w:rPr>
          <w:rStyle w:val="a5"/>
          <w:rFonts w:ascii="Verdana" w:hAnsi="Verdana"/>
          <w:b/>
          <w:sz w:val="20"/>
          <w:szCs w:val="20"/>
          <w:lang w:val="bg-BG"/>
        </w:rPr>
      </w:pPr>
      <w:r w:rsidRPr="00B80DB3">
        <w:rPr>
          <w:rFonts w:ascii="Verdana" w:eastAsia="Times New Roman" w:hAnsi="Verdana" w:cs="Times New Roman"/>
          <w:noProof/>
          <w:color w:val="0000FF"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1EAC40E5" wp14:editId="5142554D">
            <wp:simplePos x="0" y="0"/>
            <wp:positionH relativeFrom="column">
              <wp:posOffset>-635</wp:posOffset>
            </wp:positionH>
            <wp:positionV relativeFrom="paragraph">
              <wp:posOffset>3175</wp:posOffset>
            </wp:positionV>
            <wp:extent cx="2433955" cy="1270000"/>
            <wp:effectExtent l="0" t="0" r="4445" b="6350"/>
            <wp:wrapSquare wrapText="bothSides"/>
            <wp:docPr id="672" name="Рисунок 672" descr="http://www.aironprint.by/wp-content/uploads/2014/11/about-3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aironprint.by/wp-content/uploads/2014/11/about-3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955" cy="127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0DB3">
        <w:rPr>
          <w:rFonts w:ascii="Verdana" w:eastAsia="Calibri" w:hAnsi="Verdana" w:cs="Times New Roman"/>
          <w:b/>
          <w:sz w:val="20"/>
          <w:szCs w:val="20"/>
          <w:lang w:val="bg-BG"/>
        </w:rPr>
        <w:t>ПРОГНОЗА - РЪСТ В ЦИФРОВИЯ ЦВЕТЕН ПЕЧАТ В СЕКТОРА НА ОПАКОВКИТЕ</w:t>
      </w:r>
    </w:p>
    <w:p w:rsidR="00B80DB3" w:rsidRPr="00B80DB3" w:rsidRDefault="00B80DB3" w:rsidP="00B80DB3">
      <w:pPr>
        <w:pStyle w:val="a3"/>
        <w:spacing w:line="276" w:lineRule="auto"/>
        <w:jc w:val="both"/>
        <w:rPr>
          <w:rStyle w:val="a5"/>
          <w:rFonts w:ascii="Verdana" w:hAnsi="Verdana"/>
          <w:sz w:val="20"/>
          <w:szCs w:val="20"/>
          <w:lang w:val="bg-BG"/>
        </w:rPr>
      </w:pPr>
    </w:p>
    <w:p w:rsidR="00B80DB3" w:rsidRPr="00B80DB3" w:rsidRDefault="00B80DB3" w:rsidP="00B80DB3">
      <w:pPr>
        <w:jc w:val="both"/>
        <w:rPr>
          <w:rStyle w:val="a5"/>
          <w:rFonts w:ascii="Verdana" w:hAnsi="Verdana"/>
          <w:color w:val="auto"/>
          <w:sz w:val="20"/>
          <w:szCs w:val="20"/>
          <w:u w:val="none"/>
          <w:lang w:val="bg-BG"/>
        </w:rPr>
      </w:pPr>
      <w:r w:rsidRPr="00B80DB3">
        <w:rPr>
          <w:rStyle w:val="a5"/>
          <w:rFonts w:ascii="Verdana" w:hAnsi="Verdana"/>
          <w:color w:val="auto"/>
          <w:sz w:val="20"/>
          <w:szCs w:val="20"/>
          <w:u w:val="none"/>
          <w:lang w:val="bg-BG"/>
        </w:rPr>
        <w:t>Дигитален печат върху опаковка - един от малкото бързо растящи сектори в областта на печата. През 2015 г. обемът на пазара за дигитален печат е оценен на 10,5 млрд. долара, което приблизително е еквивалентно на 107 млрд. разпечатки с формат А4.</w:t>
      </w:r>
    </w:p>
    <w:p w:rsidR="00B80DB3" w:rsidRPr="00B80DB3" w:rsidRDefault="00B80DB3" w:rsidP="00B80DB3">
      <w:pPr>
        <w:jc w:val="both"/>
        <w:rPr>
          <w:rStyle w:val="a5"/>
          <w:rFonts w:ascii="Verdana" w:hAnsi="Verdana"/>
          <w:color w:val="auto"/>
          <w:sz w:val="20"/>
          <w:szCs w:val="20"/>
          <w:u w:val="none"/>
          <w:lang w:val="bg-BG"/>
        </w:rPr>
      </w:pPr>
      <w:r w:rsidRPr="00B80DB3">
        <w:rPr>
          <w:rStyle w:val="a5"/>
          <w:rFonts w:ascii="Verdana" w:hAnsi="Verdana"/>
          <w:color w:val="auto"/>
          <w:sz w:val="20"/>
          <w:szCs w:val="20"/>
          <w:u w:val="none"/>
          <w:lang w:val="bg-BG"/>
        </w:rPr>
        <w:t>Прогнозите са, че до 2020 г. световният пазар ще расте средно с по 13,6% годишно по съпоставими цени (в реално изражение), при което годишният растеж на световния обем на печат ще бъде с по 16,2%. Етикетът ще заема 80,5% от този показател и 93,5% от обема на печата през 2015 г., но ситуацията се променя, тъй като се появяват бързо развиващи се нови области за използване на картона, велпапето, гъвкавите и твърди пластмаси и печат върху метал.</w:t>
      </w:r>
    </w:p>
    <w:p w:rsidR="00B80DB3" w:rsidRPr="00B80DB3" w:rsidRDefault="00B80DB3" w:rsidP="00B80DB3">
      <w:pPr>
        <w:jc w:val="both"/>
        <w:rPr>
          <w:rStyle w:val="a5"/>
          <w:rFonts w:ascii="Verdana" w:hAnsi="Verdana"/>
          <w:color w:val="auto"/>
          <w:sz w:val="20"/>
          <w:szCs w:val="20"/>
          <w:u w:val="none"/>
          <w:lang w:val="bg-BG"/>
        </w:rPr>
      </w:pPr>
      <w:r w:rsidRPr="00B80DB3">
        <w:rPr>
          <w:rStyle w:val="a5"/>
          <w:rFonts w:ascii="Verdana" w:hAnsi="Verdana"/>
          <w:color w:val="auto"/>
          <w:sz w:val="20"/>
          <w:szCs w:val="20"/>
          <w:u w:val="none"/>
          <w:lang w:val="bg-BG"/>
        </w:rPr>
        <w:t xml:space="preserve">Новият доклад на </w:t>
      </w:r>
      <w:proofErr w:type="spellStart"/>
      <w:r w:rsidRPr="00B80DB3">
        <w:rPr>
          <w:rStyle w:val="a5"/>
          <w:rFonts w:ascii="Verdana" w:hAnsi="Verdana"/>
          <w:color w:val="auto"/>
          <w:sz w:val="20"/>
          <w:szCs w:val="20"/>
          <w:u w:val="none"/>
          <w:lang w:val="bg-BG"/>
        </w:rPr>
        <w:t>Smithers</w:t>
      </w:r>
      <w:proofErr w:type="spellEnd"/>
      <w:r w:rsidRPr="00B80DB3">
        <w:rPr>
          <w:rStyle w:val="a5"/>
          <w:rFonts w:ascii="Verdana" w:hAnsi="Verdana"/>
          <w:color w:val="auto"/>
          <w:sz w:val="20"/>
          <w:szCs w:val="20"/>
          <w:u w:val="none"/>
          <w:lang w:val="bg-BG"/>
        </w:rPr>
        <w:t xml:space="preserve"> </w:t>
      </w:r>
      <w:proofErr w:type="spellStart"/>
      <w:r w:rsidRPr="00B80DB3">
        <w:rPr>
          <w:rStyle w:val="a5"/>
          <w:rFonts w:ascii="Verdana" w:hAnsi="Verdana"/>
          <w:color w:val="auto"/>
          <w:sz w:val="20"/>
          <w:szCs w:val="20"/>
          <w:u w:val="none"/>
          <w:lang w:val="bg-BG"/>
        </w:rPr>
        <w:t>Pira</w:t>
      </w:r>
      <w:proofErr w:type="spellEnd"/>
      <w:r w:rsidRPr="00B80DB3">
        <w:rPr>
          <w:rStyle w:val="a5"/>
          <w:rFonts w:ascii="Verdana" w:hAnsi="Verdana"/>
          <w:color w:val="auto"/>
          <w:sz w:val="20"/>
          <w:szCs w:val="20"/>
          <w:u w:val="none"/>
          <w:lang w:val="bg-BG"/>
        </w:rPr>
        <w:t xml:space="preserve"> „Бъдещето на дигитален печат за опаковки в периода до 2020 г.“ прогнозира бърз растеж на сектора на опаковките с дигитален печат в следващите пет години. Като цяло пазарът на опаковки се разширява, като възстановяването на икономиката в повечето региони стимулира потребителските разходи, тъй като населението расте и вследствие на това се появяват повече домакинства, състоящи се от един човек.</w:t>
      </w:r>
    </w:p>
    <w:p w:rsidR="00B80DB3" w:rsidRPr="00B80DB3" w:rsidRDefault="00B80DB3" w:rsidP="00B80DB3">
      <w:pPr>
        <w:jc w:val="both"/>
        <w:rPr>
          <w:rStyle w:val="a5"/>
          <w:rFonts w:ascii="Verdana" w:hAnsi="Verdana"/>
          <w:color w:val="auto"/>
          <w:sz w:val="20"/>
          <w:szCs w:val="20"/>
          <w:u w:val="none"/>
          <w:lang w:val="bg-BG"/>
        </w:rPr>
      </w:pPr>
      <w:r w:rsidRPr="00B80DB3">
        <w:rPr>
          <w:rStyle w:val="a5"/>
          <w:rFonts w:ascii="Verdana" w:hAnsi="Verdana"/>
          <w:color w:val="auto"/>
          <w:sz w:val="20"/>
          <w:szCs w:val="20"/>
          <w:u w:val="none"/>
          <w:lang w:val="bg-BG"/>
        </w:rPr>
        <w:t>Търсенето е стимулирано от намаляването на средния тираж, което прави цифровите технологии все по-рентабилни от аналоговия печат на опаковки. Но икономическите ползи не са единственият стимул. В рамките на този сектор се увеличава натискът от законодателните органи, а множеството иновации предлагат на пазара нова функционалност. В зависимост от това, как потребителите ще намират начини за използване на новите функции, предлагани от дигиталния печат, ще се разширява и използването му.</w:t>
      </w:r>
    </w:p>
    <w:p w:rsidR="00B80DB3" w:rsidRPr="00B80DB3" w:rsidRDefault="00B80DB3" w:rsidP="00B80DB3">
      <w:pPr>
        <w:jc w:val="both"/>
        <w:rPr>
          <w:rStyle w:val="a5"/>
          <w:rFonts w:ascii="Verdana" w:hAnsi="Verdana"/>
          <w:i/>
          <w:color w:val="auto"/>
          <w:sz w:val="20"/>
          <w:szCs w:val="20"/>
          <w:u w:val="none"/>
          <w:lang w:val="bg-BG"/>
        </w:rPr>
      </w:pPr>
      <w:r w:rsidRPr="00B80DB3">
        <w:rPr>
          <w:rFonts w:ascii="Verdana" w:hAnsi="Verdana"/>
          <w:noProof/>
          <w:sz w:val="20"/>
          <w:szCs w:val="20"/>
          <w:lang w:eastAsia="ru-RU"/>
        </w:rPr>
        <w:drawing>
          <wp:anchor distT="0" distB="0" distL="114300" distR="114300" simplePos="0" relativeHeight="251660288" behindDoc="0" locked="0" layoutInCell="1" allowOverlap="1" wp14:anchorId="78CF4914" wp14:editId="433389DD">
            <wp:simplePos x="0" y="0"/>
            <wp:positionH relativeFrom="column">
              <wp:posOffset>-53340</wp:posOffset>
            </wp:positionH>
            <wp:positionV relativeFrom="paragraph">
              <wp:posOffset>415290</wp:posOffset>
            </wp:positionV>
            <wp:extent cx="4114800" cy="2405380"/>
            <wp:effectExtent l="0" t="0" r="0" b="0"/>
            <wp:wrapSquare wrapText="bothSides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0DB3">
        <w:rPr>
          <w:rStyle w:val="a5"/>
          <w:rFonts w:ascii="Verdana" w:hAnsi="Verdana"/>
          <w:i/>
          <w:color w:val="auto"/>
          <w:sz w:val="20"/>
          <w:szCs w:val="20"/>
          <w:u w:val="none"/>
          <w:lang w:val="bg-BG"/>
        </w:rPr>
        <w:t>Световните пазари за опаковки и етикети с цифрова печат по типове на печата, 2010-2020 г.</w:t>
      </w:r>
      <w:proofErr w:type="spellStart"/>
      <w:r w:rsidRPr="00B80DB3">
        <w:rPr>
          <w:rStyle w:val="a5"/>
          <w:rFonts w:ascii="Verdana" w:hAnsi="Verdana"/>
          <w:i/>
          <w:color w:val="auto"/>
          <w:sz w:val="20"/>
          <w:szCs w:val="20"/>
          <w:u w:val="none"/>
          <w:lang w:val="bg-BG"/>
        </w:rPr>
        <w:t>г</w:t>
      </w:r>
      <w:proofErr w:type="spellEnd"/>
      <w:r w:rsidRPr="00B80DB3">
        <w:rPr>
          <w:rStyle w:val="a5"/>
          <w:rFonts w:ascii="Verdana" w:hAnsi="Verdana"/>
          <w:i/>
          <w:color w:val="auto"/>
          <w:sz w:val="20"/>
          <w:szCs w:val="20"/>
          <w:u w:val="none"/>
          <w:lang w:val="bg-BG"/>
        </w:rPr>
        <w:t>.</w:t>
      </w:r>
    </w:p>
    <w:p w:rsidR="00B80DB3" w:rsidRPr="00B80DB3" w:rsidRDefault="00B80DB3" w:rsidP="00B80DB3">
      <w:pPr>
        <w:jc w:val="both"/>
        <w:rPr>
          <w:rStyle w:val="a5"/>
          <w:rFonts w:ascii="Verdana" w:hAnsi="Verdana"/>
          <w:i/>
          <w:color w:val="auto"/>
          <w:sz w:val="20"/>
          <w:szCs w:val="20"/>
          <w:u w:val="none"/>
          <w:lang w:val="bg-BG"/>
        </w:rPr>
      </w:pPr>
      <w:r w:rsidRPr="00B80DB3">
        <w:rPr>
          <w:rStyle w:val="a5"/>
          <w:rFonts w:ascii="Verdana" w:hAnsi="Verdana"/>
          <w:i/>
          <w:color w:val="auto"/>
          <w:sz w:val="20"/>
          <w:szCs w:val="20"/>
          <w:u w:val="none"/>
          <w:lang w:val="bg-BG"/>
        </w:rPr>
        <w:t>(млрд. разпечатки с формат А4 или техни аналози)</w:t>
      </w:r>
    </w:p>
    <w:p w:rsidR="00B80DB3" w:rsidRPr="00B80DB3" w:rsidRDefault="00B80DB3" w:rsidP="00B80DB3">
      <w:pPr>
        <w:pStyle w:val="a3"/>
        <w:spacing w:line="276" w:lineRule="auto"/>
        <w:ind w:firstLine="708"/>
        <w:jc w:val="both"/>
        <w:rPr>
          <w:rStyle w:val="a5"/>
          <w:rFonts w:ascii="Verdana" w:hAnsi="Verdana"/>
          <w:sz w:val="20"/>
          <w:szCs w:val="20"/>
          <w:lang w:val="bg-BG"/>
        </w:rPr>
      </w:pPr>
    </w:p>
    <w:p w:rsidR="00B80DB3" w:rsidRPr="00B80DB3" w:rsidRDefault="00B80DB3" w:rsidP="00B80DB3">
      <w:pPr>
        <w:pStyle w:val="a3"/>
        <w:spacing w:line="276" w:lineRule="auto"/>
        <w:ind w:firstLine="708"/>
        <w:jc w:val="both"/>
        <w:rPr>
          <w:rStyle w:val="a5"/>
          <w:rFonts w:ascii="Verdana" w:hAnsi="Verdana"/>
          <w:color w:val="auto"/>
          <w:sz w:val="20"/>
          <w:szCs w:val="20"/>
          <w:u w:val="none"/>
          <w:lang w:val="bg-BG"/>
        </w:rPr>
      </w:pPr>
      <w:r w:rsidRPr="00B80DB3">
        <w:rPr>
          <w:rStyle w:val="a5"/>
          <w:rFonts w:ascii="Verdana" w:hAnsi="Verdana"/>
          <w:color w:val="auto"/>
          <w:sz w:val="20"/>
          <w:szCs w:val="20"/>
          <w:u w:val="none"/>
          <w:lang w:val="bg-BG"/>
        </w:rPr>
        <w:t xml:space="preserve">Докладът „Бъдещето на дигиталния печат за опаковки в периода до 2020 г.“ обхваща различни технологии на дигитален печат и особено внимание обръща на технологията на </w:t>
      </w:r>
      <w:proofErr w:type="spellStart"/>
      <w:r w:rsidRPr="00B80DB3">
        <w:rPr>
          <w:rStyle w:val="a5"/>
          <w:rFonts w:ascii="Verdana" w:hAnsi="Verdana"/>
          <w:color w:val="auto"/>
          <w:sz w:val="20"/>
          <w:szCs w:val="20"/>
          <w:u w:val="none"/>
          <w:lang w:val="bg-BG"/>
        </w:rPr>
        <w:t>електрофотографията</w:t>
      </w:r>
      <w:proofErr w:type="spellEnd"/>
      <w:r w:rsidRPr="00B80DB3">
        <w:rPr>
          <w:rStyle w:val="a5"/>
          <w:rFonts w:ascii="Verdana" w:hAnsi="Verdana"/>
          <w:color w:val="auto"/>
          <w:sz w:val="20"/>
          <w:szCs w:val="20"/>
          <w:u w:val="none"/>
          <w:lang w:val="bg-BG"/>
        </w:rPr>
        <w:t xml:space="preserve"> и мастилено-струнния печат.</w:t>
      </w:r>
    </w:p>
    <w:p w:rsidR="00B80DB3" w:rsidRPr="00B80DB3" w:rsidRDefault="00B80DB3" w:rsidP="00B80DB3">
      <w:pPr>
        <w:pStyle w:val="a3"/>
        <w:spacing w:line="276" w:lineRule="auto"/>
        <w:jc w:val="both"/>
        <w:rPr>
          <w:rStyle w:val="a5"/>
          <w:rFonts w:ascii="Verdana" w:hAnsi="Verdana"/>
          <w:color w:val="auto"/>
          <w:sz w:val="20"/>
          <w:szCs w:val="20"/>
          <w:u w:val="none"/>
          <w:lang w:val="bg-BG"/>
        </w:rPr>
      </w:pPr>
      <w:r w:rsidRPr="00B80DB3">
        <w:rPr>
          <w:rStyle w:val="a5"/>
          <w:rFonts w:ascii="Verdana" w:hAnsi="Verdana"/>
          <w:color w:val="auto"/>
          <w:sz w:val="20"/>
          <w:szCs w:val="20"/>
          <w:u w:val="none"/>
          <w:lang w:val="bg-BG"/>
        </w:rPr>
        <w:lastRenderedPageBreak/>
        <w:t xml:space="preserve">В момента </w:t>
      </w:r>
      <w:proofErr w:type="spellStart"/>
      <w:r w:rsidRPr="00B80DB3">
        <w:rPr>
          <w:rStyle w:val="a5"/>
          <w:rFonts w:ascii="Verdana" w:hAnsi="Verdana"/>
          <w:color w:val="auto"/>
          <w:sz w:val="20"/>
          <w:szCs w:val="20"/>
          <w:u w:val="none"/>
          <w:lang w:val="bg-BG"/>
        </w:rPr>
        <w:t>електрофотографията</w:t>
      </w:r>
      <w:proofErr w:type="spellEnd"/>
      <w:r w:rsidRPr="00B80DB3">
        <w:rPr>
          <w:rStyle w:val="a5"/>
          <w:rFonts w:ascii="Verdana" w:hAnsi="Verdana"/>
          <w:color w:val="auto"/>
          <w:sz w:val="20"/>
          <w:szCs w:val="20"/>
          <w:u w:val="none"/>
          <w:lang w:val="bg-BG"/>
        </w:rPr>
        <w:t xml:space="preserve"> задава тона по отношение на обемите на печат, но се очаква, че </w:t>
      </w:r>
      <w:proofErr w:type="spellStart"/>
      <w:r w:rsidRPr="00B80DB3">
        <w:rPr>
          <w:rStyle w:val="a5"/>
          <w:rFonts w:ascii="Verdana" w:hAnsi="Verdana"/>
          <w:color w:val="auto"/>
          <w:sz w:val="20"/>
          <w:szCs w:val="20"/>
          <w:u w:val="none"/>
          <w:lang w:val="bg-BG"/>
        </w:rPr>
        <w:t>мастиленострунният</w:t>
      </w:r>
      <w:proofErr w:type="spellEnd"/>
      <w:r w:rsidRPr="00B80DB3">
        <w:rPr>
          <w:rStyle w:val="a5"/>
          <w:rFonts w:ascii="Verdana" w:hAnsi="Verdana"/>
          <w:color w:val="auto"/>
          <w:sz w:val="20"/>
          <w:szCs w:val="20"/>
          <w:u w:val="none"/>
          <w:lang w:val="bg-BG"/>
        </w:rPr>
        <w:t xml:space="preserve"> печат ще расте по-бързо и през 2018 г. ще надвиши обемите на </w:t>
      </w:r>
      <w:proofErr w:type="spellStart"/>
      <w:r w:rsidRPr="00B80DB3">
        <w:rPr>
          <w:rStyle w:val="a5"/>
          <w:rFonts w:ascii="Verdana" w:hAnsi="Verdana"/>
          <w:color w:val="auto"/>
          <w:sz w:val="20"/>
          <w:szCs w:val="20"/>
          <w:u w:val="none"/>
          <w:lang w:val="bg-BG"/>
        </w:rPr>
        <w:t>електрофотографията</w:t>
      </w:r>
      <w:proofErr w:type="spellEnd"/>
      <w:r w:rsidRPr="00B80DB3">
        <w:rPr>
          <w:rStyle w:val="a5"/>
          <w:rFonts w:ascii="Verdana" w:hAnsi="Verdana"/>
          <w:color w:val="auto"/>
          <w:sz w:val="20"/>
          <w:szCs w:val="20"/>
          <w:u w:val="none"/>
          <w:lang w:val="bg-BG"/>
        </w:rPr>
        <w:t>.</w:t>
      </w:r>
    </w:p>
    <w:p w:rsidR="00B80DB3" w:rsidRPr="00B80DB3" w:rsidRDefault="00B80DB3" w:rsidP="00B80DB3">
      <w:pPr>
        <w:pStyle w:val="a3"/>
        <w:spacing w:line="276" w:lineRule="auto"/>
        <w:jc w:val="both"/>
        <w:rPr>
          <w:rStyle w:val="a5"/>
          <w:rFonts w:ascii="Verdana" w:hAnsi="Verdana"/>
          <w:color w:val="auto"/>
          <w:sz w:val="20"/>
          <w:szCs w:val="20"/>
          <w:u w:val="none"/>
          <w:lang w:val="bg-BG"/>
        </w:rPr>
      </w:pPr>
      <w:r w:rsidRPr="00B80DB3">
        <w:rPr>
          <w:rStyle w:val="a5"/>
          <w:rFonts w:ascii="Verdana" w:hAnsi="Verdana"/>
          <w:color w:val="auto"/>
          <w:sz w:val="20"/>
          <w:szCs w:val="20"/>
          <w:u w:val="none"/>
          <w:lang w:val="bg-BG"/>
        </w:rPr>
        <w:t xml:space="preserve">Безконтактният мастилено-струен печат е по-подходящ за отпечатване на големи формати на различни материали, което го прави по-подходящ за опаковки; също така, системата за мастиленоструен печат по-лесно се интегрира със съществуващите линии за преобразуване, отколкото апаратите за </w:t>
      </w:r>
      <w:proofErr w:type="spellStart"/>
      <w:r w:rsidRPr="00B80DB3">
        <w:rPr>
          <w:rStyle w:val="a5"/>
          <w:rFonts w:ascii="Verdana" w:hAnsi="Verdana"/>
          <w:color w:val="auto"/>
          <w:sz w:val="20"/>
          <w:szCs w:val="20"/>
          <w:u w:val="none"/>
          <w:lang w:val="bg-BG"/>
        </w:rPr>
        <w:t>електрофотография</w:t>
      </w:r>
      <w:proofErr w:type="spellEnd"/>
      <w:r w:rsidRPr="00B80DB3">
        <w:rPr>
          <w:rStyle w:val="a5"/>
          <w:rFonts w:ascii="Verdana" w:hAnsi="Verdana"/>
          <w:color w:val="auto"/>
          <w:sz w:val="20"/>
          <w:szCs w:val="20"/>
          <w:u w:val="none"/>
          <w:lang w:val="bg-BG"/>
        </w:rPr>
        <w:t>.</w:t>
      </w:r>
    </w:p>
    <w:p w:rsidR="00B80DB3" w:rsidRDefault="00B80DB3" w:rsidP="00B80DB3">
      <w:pPr>
        <w:pStyle w:val="a3"/>
        <w:spacing w:line="276" w:lineRule="auto"/>
        <w:ind w:firstLine="708"/>
        <w:jc w:val="both"/>
        <w:rPr>
          <w:rStyle w:val="a5"/>
          <w:rFonts w:ascii="Verdana" w:hAnsi="Verdana"/>
          <w:color w:val="auto"/>
          <w:sz w:val="20"/>
          <w:szCs w:val="20"/>
          <w:u w:val="none"/>
          <w:lang w:val="en-US"/>
        </w:rPr>
      </w:pPr>
    </w:p>
    <w:p w:rsidR="00B80DB3" w:rsidRPr="00B80DB3" w:rsidRDefault="00B80DB3" w:rsidP="00B80DB3">
      <w:pPr>
        <w:pStyle w:val="a3"/>
        <w:spacing w:line="276" w:lineRule="auto"/>
        <w:ind w:firstLine="708"/>
        <w:jc w:val="both"/>
        <w:rPr>
          <w:rStyle w:val="a5"/>
          <w:rFonts w:ascii="Verdana" w:hAnsi="Verdana"/>
          <w:color w:val="auto"/>
          <w:sz w:val="20"/>
          <w:szCs w:val="20"/>
          <w:u w:val="none"/>
          <w:lang w:val="bg-BG"/>
        </w:rPr>
      </w:pPr>
      <w:bookmarkStart w:id="0" w:name="_GoBack"/>
      <w:bookmarkEnd w:id="0"/>
      <w:r w:rsidRPr="00B80DB3">
        <w:rPr>
          <w:rStyle w:val="a5"/>
          <w:rFonts w:ascii="Verdana" w:hAnsi="Verdana"/>
          <w:color w:val="auto"/>
          <w:sz w:val="20"/>
          <w:szCs w:val="20"/>
          <w:u w:val="none"/>
          <w:lang w:val="bg-BG"/>
        </w:rPr>
        <w:t xml:space="preserve">Търсенето на опаковки с дигитален печат продължава да расте, като предлага множество преимущества за производителите на опаковки, на купувачите на опаковки, търговците на дребно и задоволява потребителското търсене. Цифровата технология позволява да се печатат изцяло променливи данни, а това помага за укрепване на връзките с потребителите и потенциалните клиенти, като съдържанието се адаптира към нуждите на отделни лица или групи.  С помощта на цифровите технологии може да се повиши и статута на </w:t>
      </w:r>
      <w:proofErr w:type="spellStart"/>
      <w:r w:rsidRPr="00B80DB3">
        <w:rPr>
          <w:rStyle w:val="a5"/>
          <w:rFonts w:ascii="Verdana" w:hAnsi="Verdana"/>
          <w:color w:val="auto"/>
          <w:sz w:val="20"/>
          <w:szCs w:val="20"/>
          <w:u w:val="none"/>
          <w:lang w:val="bg-BG"/>
        </w:rPr>
        <w:t>бранда</w:t>
      </w:r>
      <w:proofErr w:type="spellEnd"/>
      <w:r w:rsidRPr="00B80DB3">
        <w:rPr>
          <w:rStyle w:val="a5"/>
          <w:rFonts w:ascii="Verdana" w:hAnsi="Verdana"/>
          <w:color w:val="auto"/>
          <w:sz w:val="20"/>
          <w:szCs w:val="20"/>
          <w:u w:val="none"/>
          <w:lang w:val="bg-BG"/>
        </w:rPr>
        <w:t>.</w:t>
      </w:r>
    </w:p>
    <w:p w:rsidR="00B80DB3" w:rsidRPr="00B80DB3" w:rsidRDefault="00B80DB3" w:rsidP="00B80DB3">
      <w:pPr>
        <w:pStyle w:val="a3"/>
        <w:spacing w:line="276" w:lineRule="auto"/>
        <w:ind w:firstLine="708"/>
        <w:jc w:val="both"/>
        <w:rPr>
          <w:rStyle w:val="a5"/>
          <w:rFonts w:ascii="Verdana" w:hAnsi="Verdana"/>
          <w:sz w:val="20"/>
          <w:szCs w:val="20"/>
          <w:lang w:val="bg-BG"/>
        </w:rPr>
      </w:pPr>
    </w:p>
    <w:p w:rsidR="00B80DB3" w:rsidRPr="00B80DB3" w:rsidRDefault="00B80DB3" w:rsidP="00B80DB3">
      <w:pPr>
        <w:pStyle w:val="a3"/>
        <w:spacing w:line="276" w:lineRule="auto"/>
        <w:ind w:firstLine="708"/>
        <w:jc w:val="right"/>
        <w:rPr>
          <w:rStyle w:val="a5"/>
          <w:rFonts w:ascii="Verdana" w:hAnsi="Verdana"/>
          <w:sz w:val="20"/>
          <w:szCs w:val="20"/>
          <w:lang w:val="bg-BG"/>
        </w:rPr>
      </w:pPr>
      <w:hyperlink r:id="rId8" w:history="1">
        <w:r w:rsidRPr="00B80DB3">
          <w:rPr>
            <w:rStyle w:val="a5"/>
            <w:rFonts w:ascii="Verdana" w:hAnsi="Verdana"/>
            <w:sz w:val="20"/>
            <w:szCs w:val="20"/>
            <w:lang w:val="bg-BG"/>
          </w:rPr>
          <w:t>http://article.unipack.ru/</w:t>
        </w:r>
      </w:hyperlink>
    </w:p>
    <w:p w:rsidR="00D0484E" w:rsidRPr="00B80DB3" w:rsidRDefault="00D0484E">
      <w:pPr>
        <w:rPr>
          <w:rFonts w:ascii="Verdana" w:hAnsi="Verdana"/>
          <w:sz w:val="20"/>
          <w:szCs w:val="20"/>
        </w:rPr>
      </w:pPr>
    </w:p>
    <w:sectPr w:rsidR="00D0484E" w:rsidRPr="00B80D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140"/>
    <w:rsid w:val="00832140"/>
    <w:rsid w:val="00B80DB3"/>
    <w:rsid w:val="00D04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80DB3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B80DB3"/>
    <w:rPr>
      <w:color w:val="0000FF" w:themeColor="hyperlink"/>
      <w:u w:val="single"/>
    </w:rPr>
  </w:style>
  <w:style w:type="character" w:customStyle="1" w:styleId="a4">
    <w:name w:val="Без интервала Знак"/>
    <w:basedOn w:val="a0"/>
    <w:link w:val="a3"/>
    <w:uiPriority w:val="1"/>
    <w:rsid w:val="00B80D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DB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80DB3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B80DB3"/>
    <w:rPr>
      <w:color w:val="0000FF" w:themeColor="hyperlink"/>
      <w:u w:val="single"/>
    </w:rPr>
  </w:style>
  <w:style w:type="character" w:customStyle="1" w:styleId="a4">
    <w:name w:val="Без интервала Знак"/>
    <w:basedOn w:val="a0"/>
    <w:link w:val="a3"/>
    <w:uiPriority w:val="1"/>
    <w:rsid w:val="00B80D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ticle.unipack.ru/" TargetMode="Externa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ww.google.bg/url?sa=i&amp;rct=j&amp;q=&amp;esrc=s&amp;source=images&amp;cd=&amp;cad=rja&amp;uact=8&amp;ved=0CAcQjRxqFQoTCNWhh8fu8cgCFUjhcgodoRoAtw&amp;url=http://www.aironprint.by/poligrafiya/&amp;psig=AFQjCNGdXCIjPX_OK-K2Lp0_gXg5JPmN9A&amp;ust=144655755130958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3289588801399819E-2"/>
          <c:y val="2.6677569062285637E-2"/>
          <c:w val="0.90564351753328132"/>
          <c:h val="0.82448756405449319"/>
        </c:manualLayout>
      </c:layout>
      <c:line3D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електрофотография</c:v>
                </c:pt>
              </c:strCache>
            </c:strRef>
          </c:tx>
          <c:cat>
            <c:numRef>
              <c:f>Лист1!$A$2:$A$12</c:f>
              <c:numCache>
                <c:formatCode>General</c:formatCode>
                <c:ptCount val="11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  <c:pt idx="10">
                  <c:v>2020</c:v>
                </c:pt>
              </c:numCache>
            </c:num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48</c:v>
                </c:pt>
                <c:pt idx="1">
                  <c:v>48</c:v>
                </c:pt>
                <c:pt idx="2">
                  <c:v>48</c:v>
                </c:pt>
                <c:pt idx="3">
                  <c:v>49</c:v>
                </c:pt>
                <c:pt idx="4">
                  <c:v>49</c:v>
                </c:pt>
                <c:pt idx="5">
                  <c:v>50</c:v>
                </c:pt>
                <c:pt idx="6">
                  <c:v>50</c:v>
                </c:pt>
                <c:pt idx="7">
                  <c:v>60</c:v>
                </c:pt>
                <c:pt idx="8">
                  <c:v>70</c:v>
                </c:pt>
                <c:pt idx="9">
                  <c:v>80</c:v>
                </c:pt>
                <c:pt idx="10">
                  <c:v>90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мастилено-струнен печат </c:v>
                </c:pt>
              </c:strCache>
            </c:strRef>
          </c:tx>
          <c:cat>
            <c:numRef>
              <c:f>Лист1!$A$2:$A$12</c:f>
              <c:numCache>
                <c:formatCode>General</c:formatCode>
                <c:ptCount val="11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  <c:pt idx="10">
                  <c:v>2020</c:v>
                </c:pt>
              </c:numCache>
            </c:numRef>
          </c:cat>
          <c:val>
            <c:numRef>
              <c:f>Лист1!$C$2:$C$12</c:f>
              <c:numCache>
                <c:formatCode>General</c:formatCode>
                <c:ptCount val="11"/>
                <c:pt idx="0">
                  <c:v>50</c:v>
                </c:pt>
                <c:pt idx="1">
                  <c:v>75</c:v>
                </c:pt>
                <c:pt idx="2">
                  <c:v>100</c:v>
                </c:pt>
                <c:pt idx="3">
                  <c:v>100</c:v>
                </c:pt>
                <c:pt idx="4">
                  <c:v>110</c:v>
                </c:pt>
                <c:pt idx="5">
                  <c:v>130</c:v>
                </c:pt>
                <c:pt idx="6">
                  <c:v>150</c:v>
                </c:pt>
                <c:pt idx="7">
                  <c:v>150</c:v>
                </c:pt>
                <c:pt idx="8">
                  <c:v>200</c:v>
                </c:pt>
                <c:pt idx="9">
                  <c:v>230</c:v>
                </c:pt>
                <c:pt idx="10">
                  <c:v>230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numRef>
              <c:f>Лист1!$A$2:$A$12</c:f>
              <c:numCache>
                <c:formatCode>General</c:formatCode>
                <c:ptCount val="11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  <c:pt idx="4">
                  <c:v>2014</c:v>
                </c:pt>
                <c:pt idx="5">
                  <c:v>2015</c:v>
                </c:pt>
                <c:pt idx="6">
                  <c:v>2016</c:v>
                </c:pt>
                <c:pt idx="7">
                  <c:v>2017</c:v>
                </c:pt>
                <c:pt idx="8">
                  <c:v>2018</c:v>
                </c:pt>
                <c:pt idx="9">
                  <c:v>2019</c:v>
                </c:pt>
                <c:pt idx="10">
                  <c:v>2020</c:v>
                </c:pt>
              </c:numCache>
            </c:numRef>
          </c:cat>
          <c:val>
            <c:numRef>
              <c:f>Лист1!$D$2:$D$12</c:f>
              <c:numCache>
                <c:formatCode>General</c:formatCode>
                <c:ptCount val="11"/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132394368"/>
        <c:axId val="132936448"/>
        <c:axId val="126270080"/>
      </c:line3DChart>
      <c:catAx>
        <c:axId val="1323943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32936448"/>
        <c:crosses val="autoZero"/>
        <c:auto val="1"/>
        <c:lblAlgn val="ctr"/>
        <c:lblOffset val="100"/>
        <c:noMultiLvlLbl val="0"/>
      </c:catAx>
      <c:valAx>
        <c:axId val="1329364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32394368"/>
        <c:crosses val="autoZero"/>
        <c:crossBetween val="between"/>
      </c:valAx>
      <c:serAx>
        <c:axId val="126270080"/>
        <c:scaling>
          <c:orientation val="minMax"/>
        </c:scaling>
        <c:delete val="1"/>
        <c:axPos val="b"/>
        <c:majorTickMark val="out"/>
        <c:minorTickMark val="none"/>
        <c:tickLblPos val="nextTo"/>
        <c:crossAx val="132936448"/>
        <c:crosses val="autoZero"/>
      </c:serAx>
      <c:spPr>
        <a:solidFill>
          <a:srgbClr val="1F497D">
            <a:lumMod val="20000"/>
            <a:lumOff val="80000"/>
          </a:srgbClr>
        </a:solidFill>
        <a:ln>
          <a:noFill/>
        </a:ln>
      </c:spPr>
    </c:plotArea>
    <c:legend>
      <c:legendPos val="b"/>
      <c:legendEntry>
        <c:idx val="2"/>
        <c:delete val="1"/>
      </c:legendEntry>
      <c:overlay val="0"/>
      <c:txPr>
        <a:bodyPr/>
        <a:lstStyle/>
        <a:p>
          <a:pPr>
            <a:defRPr sz="800" baseline="0">
              <a:latin typeface="Verdana" panose="020B0604030504040204" pitchFamily="34" charset="0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rgbClr val="1F497D">
        <a:lumMod val="20000"/>
        <a:lumOff val="80000"/>
      </a:srgbClr>
    </a:solidFill>
    <a:ln>
      <a:noFill/>
    </a:ln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463</Words>
  <Characters>2645</Characters>
  <Application>Microsoft Office Word</Application>
  <DocSecurity>0</DocSecurity>
  <Lines>22</Lines>
  <Paragraphs>6</Paragraphs>
  <ScaleCrop>false</ScaleCrop>
  <Company/>
  <LinksUpToDate>false</LinksUpToDate>
  <CharactersWithSpaces>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2015-11-06T14:29:00Z</dcterms:created>
  <dcterms:modified xsi:type="dcterms:W3CDTF">2015-11-06T14:32:00Z</dcterms:modified>
</cp:coreProperties>
</file>