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3F" w:rsidRPr="00D40C3F" w:rsidRDefault="00D40C3F" w:rsidP="00D40C3F">
      <w:pPr>
        <w:pStyle w:val="NoSpacing"/>
        <w:spacing w:line="276" w:lineRule="auto"/>
        <w:jc w:val="center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ТЕНДЕНЦИИТЕ НА РУСКИЯ ПАЗАР НА СМЕСИТЕЛИ</w:t>
      </w:r>
    </w:p>
    <w:p w:rsidR="00D40C3F" w:rsidRPr="00D40C3F" w:rsidRDefault="001F2867" w:rsidP="00D40C3F">
      <w:pPr>
        <w:pStyle w:val="NoSpacing"/>
        <w:spacing w:line="276" w:lineRule="auto"/>
        <w:jc w:val="center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A8C512" wp14:editId="5D9D21B9">
            <wp:simplePos x="0" y="0"/>
            <wp:positionH relativeFrom="column">
              <wp:posOffset>-895350</wp:posOffset>
            </wp:positionH>
            <wp:positionV relativeFrom="paragraph">
              <wp:posOffset>183515</wp:posOffset>
            </wp:positionV>
            <wp:extent cx="2622550" cy="1466215"/>
            <wp:effectExtent l="0" t="0" r="6350" b="635"/>
            <wp:wrapSquare wrapText="bothSides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Една от основните характеристики на руския пазар на смесители е значителното преобладаване на чужди производства, докато делът на местните производители е минимален.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ind w:firstLine="708"/>
        <w:jc w:val="center"/>
        <w:rPr>
          <w:rStyle w:val="Hyper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D40C3F" w:rsidRPr="00D40C3F" w:rsidRDefault="00D40C3F" w:rsidP="00D40C3F">
      <w:pPr>
        <w:pStyle w:val="NoSpacing"/>
        <w:ind w:firstLine="708"/>
        <w:jc w:val="center"/>
        <w:rPr>
          <w:rStyle w:val="Hyper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D40C3F" w:rsidRPr="00D40C3F" w:rsidRDefault="00D40C3F" w:rsidP="00D40C3F">
      <w:pPr>
        <w:pStyle w:val="NoSpacing"/>
        <w:ind w:firstLine="708"/>
        <w:jc w:val="center"/>
        <w:rPr>
          <w:rStyle w:val="Hyper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bookmarkStart w:id="0" w:name="_GoBack"/>
      <w:bookmarkEnd w:id="0"/>
      <w:r w:rsidRPr="00D40C3F">
        <w:rPr>
          <w:rStyle w:val="Hyper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Структура на вноса на смесители по държави за 2018 г. в парично изражение</w:t>
      </w:r>
    </w:p>
    <w:p w:rsidR="00D40C3F" w:rsidRPr="00D40C3F" w:rsidRDefault="00D40C3F" w:rsidP="00D40C3F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</w:p>
    <w:p w:rsidR="00D40C3F" w:rsidRPr="00D40C3F" w:rsidRDefault="00D40C3F" w:rsidP="00D40C3F">
      <w:pPr>
        <w:pStyle w:val="NoSpacing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1DCFE650" wp14:editId="4BC35CBC">
            <wp:extent cx="3924300" cy="2413000"/>
            <wp:effectExtent l="0" t="0" r="0" b="63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0C3F" w:rsidRPr="00D40C3F" w:rsidRDefault="00D40C3F" w:rsidP="00D40C3F">
      <w:pPr>
        <w:pStyle w:val="NoSpacing"/>
        <w:jc w:val="both"/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bg-BG"/>
        </w:rPr>
      </w:pPr>
      <w:r w:rsidRPr="00D40C3F"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Федерална Митническа служба РФ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right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От 2013 г. се наблюдава снижение на обемите на вноса на смесители в Русия, като експертите свързват това с макроикономически фактори. На първо място е спада на реалните доходи на населението, както и намаляване на държавното финансиране за изграждане на нови съоръжения и намаляващата наличност на кредитни ресурси.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момента пазарната ситуация според експертите може да се определи като стагнация. Забележим спад обаче няма, но няма и ръст на пазара или той е минимален (2-3% годишно).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Тенденции в потребителското търсене на смесители на руския пазар. 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Общият спад на покупателната способност на населението доведе до изместване на търсенето към по-ниски ценови сегменти. Изключение прави „луксозният“ сегмент, който заемайки незначителен пазарен дял, на практика не се е променил под влияние на негативните икономически тенденции.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Желанието да спестява, принуждава потребителя да търси надеждни решения, които ще се използват продължително време и няма да изискват подмяна. Това се отразява на ръста на изискванията за качество, нови инженерни и дизайнерски решения, като се ориентират на средно ценово позициониране на самите продукти.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Потребителите стават по-малко критични към страната производител на оборудването. Въпреки стереотипната тенденция за избор на европейски производители, купувачът става все по-лоялен към азиатските аналози.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същото време, при еднакви условия, купувачът все още е склонен да избира европейски марки.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Ако вземем предвид предпочитанията в регионален мащаб, можем да видим, че в европейската част на Русия има по-модерни, съвременни специализирани решения, както и различни изисквания към дизайна. Северните региони са склонни към минимализъм, модернизъм, а южните към класически варианти, цветови решения, "блясък".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регионите на Русия потребителите често избират евтини продукти, например смесители за вана с дълъг чучур. В европейската част на страната, в големите градове се продават по-специализирани кранове с къс чучур за вани, кранове за биде, термостатични кранове, вградени кранчета в стената и т.н.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Конкурентната среда на смесители на руския пазар. 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Руският пазар на смесители е силно конкурентен: той е пренаситен с различни производители и марки. Експертите отбелязват, че пазарните дялове на играчите са малки - дори на най-големите компании не надвишава 5-10%. 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същото време експертите отбелязват продължаващия процес на консолидация на пазара и според прогнозите в близко бъдеще малките играчи ще бъдат заменени от по-големи компании.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допълнение, високата конкуренция и липсата на положителна динамика на пазара могат да допринесат за отстраняване на играчите с нискокачествени продукти и повишаване на нивото на руския пазар.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Пазарът на смесители не расте, той се преразпределя сред конкурентите. Днес има все повече оферти от нови производители - има голяма конкуренция, така че смесители с ниско качество стават все по-малко.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Друга забележителна тенденция е производството от големи компании на специализирани продукти, ориентирани към специфични пазарни сегменти. Това се отнася както за ценовите сегменти, така и за определени канали за разпространение.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Ключови тенденции на каналите за продажба.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Днес на руския пазар има увеличение на DIY („Направи си сам“), онлайн продажби и развитие на продажби на проекти.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През следващите три години интернет търговията и федералните DIY мрежи ще се развиват активно, като и двата канала за продажби отнемат дяла на специализираните мрежи за търговия на дребно и регионални услуги. Вероятно в Руската федерация, федералните мрежи ще изпреварят интернет търговията в развитието си.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Пазарната структура на каналите за разпространение може да варира значително в зависимост от региона: онлайн е по-развит в столицата и големите градове, а продажбите чрез „Направи си сам“ зависят от наличието на магазини в определен регион.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Прогнози за развитието на руския пазар на смесители.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Като цяло не се очакват големи промени на пазара през следващите години.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експерти, на пазара на смесители активно продължат процесите на консолидация. Нарастването на потребителските изисквания към дизайна и характеристиките за качество на продуктите при висока конкуренция и ниска покупателна способност на населението, ще спомогне за укрепване на позициите на сегашните основни играчи.</w:t>
      </w:r>
    </w:p>
    <w:p w:rsidR="00D40C3F" w:rsidRPr="00D40C3F" w:rsidRDefault="00D40C3F" w:rsidP="00D40C3F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Що се отнася до каналите за продажба, като цяло се предвижда по-нататъшното разширяване на сектора „Направи си сам“ и развитието на онлайн продажбите. В същото време традиционната търговия на дребно ще се специализира, конкурирайки се с „Направи </w:t>
      </w:r>
      <w:r w:rsidRPr="00D40C3F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си сам“ за сметка на предлагането на по-широка асортиментна линия и предлагането на клиентите на качествена експертиза.</w:t>
      </w:r>
    </w:p>
    <w:p w:rsidR="004D7D58" w:rsidRPr="00D40C3F" w:rsidRDefault="001F2867" w:rsidP="00D40C3F">
      <w:hyperlink r:id="rId6" w:history="1">
        <w:r w:rsidR="00D40C3F" w:rsidRPr="00D40C3F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bg-BG"/>
          </w:rPr>
          <w:t>https://ardexpert.ru/</w:t>
        </w:r>
      </w:hyperlink>
    </w:p>
    <w:sectPr w:rsidR="004D7D58" w:rsidRPr="00D40C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7"/>
    <w:rsid w:val="001F2867"/>
    <w:rsid w:val="003E1427"/>
    <w:rsid w:val="004D7D58"/>
    <w:rsid w:val="00D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71350-E2D7-4847-A715-30D42E2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0C3F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D40C3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0C3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dexpert.ru/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12835410136843"/>
          <c:y val="0.10615079365079365"/>
          <c:w val="0.5431386489310196"/>
          <c:h val="0.883314960629921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-2.7048390795810718E-2"/>
                  <c:y val="3.3886033982594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CC-4B74-A2C1-ACE9C477E4D1}"/>
                </c:ext>
              </c:extLst>
            </c:dLbl>
            <c:dLbl>
              <c:idx val="4"/>
              <c:layout>
                <c:manualLayout>
                  <c:x val="-8.3863364166857787E-2"/>
                  <c:y val="3.58321591380024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CC-4B74-A2C1-ACE9C477E4D1}"/>
                </c:ext>
              </c:extLst>
            </c:dLbl>
            <c:dLbl>
              <c:idx val="5"/>
              <c:layout>
                <c:manualLayout>
                  <c:x val="-8.8030604184185721E-2"/>
                  <c:y val="3.1617074181516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CC-4B74-A2C1-ACE9C477E4D1}"/>
                </c:ext>
              </c:extLst>
            </c:dLbl>
            <c:dLbl>
              <c:idx val="6"/>
              <c:layout>
                <c:manualLayout>
                  <c:x val="-0.12569477359019443"/>
                  <c:y val="4.5665561541649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CC-4B74-A2C1-ACE9C477E4D1}"/>
                </c:ext>
              </c:extLst>
            </c:dLbl>
            <c:dLbl>
              <c:idx val="7"/>
              <c:layout>
                <c:manualLayout>
                  <c:x val="4.2784190811100069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CC-4B74-A2C1-ACE9C477E4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Китай </c:v>
                </c:pt>
                <c:pt idx="1">
                  <c:v>Германия </c:v>
                </c:pt>
                <c:pt idx="2">
                  <c:v>Чехия</c:v>
                </c:pt>
                <c:pt idx="3">
                  <c:v>Тайланд</c:v>
                </c:pt>
                <c:pt idx="4">
                  <c:v>Италия</c:v>
                </c:pt>
                <c:pt idx="5">
                  <c:v>България</c:v>
                </c:pt>
                <c:pt idx="6">
                  <c:v>Белорусия</c:v>
                </c:pt>
                <c:pt idx="7">
                  <c:v>Португалия</c:v>
                </c:pt>
                <c:pt idx="8">
                  <c:v>Други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</c:v>
                </c:pt>
                <c:pt idx="1">
                  <c:v>0.11</c:v>
                </c:pt>
                <c:pt idx="2">
                  <c:v>0.05</c:v>
                </c:pt>
                <c:pt idx="3">
                  <c:v>0.04</c:v>
                </c:pt>
                <c:pt idx="4">
                  <c:v>0.04</c:v>
                </c:pt>
                <c:pt idx="5">
                  <c:v>0.03</c:v>
                </c:pt>
                <c:pt idx="6">
                  <c:v>0.03</c:v>
                </c:pt>
                <c:pt idx="7">
                  <c:v>0.03</c:v>
                </c:pt>
                <c:pt idx="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CC-4B74-A2C1-ACE9C477E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2020-01-09T05:55:00Z</dcterms:created>
  <dcterms:modified xsi:type="dcterms:W3CDTF">2020-01-09T05:56:00Z</dcterms:modified>
</cp:coreProperties>
</file>