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DE" w:rsidRPr="00895990" w:rsidRDefault="005956DE" w:rsidP="005956DE">
      <w:pPr>
        <w:pStyle w:val="a3"/>
        <w:spacing w:after="0"/>
        <w:jc w:val="both"/>
        <w:rPr>
          <w:rFonts w:ascii="Verdana" w:hAnsi="Verdana"/>
          <w:b/>
          <w:sz w:val="20"/>
          <w:szCs w:val="20"/>
          <w:lang w:val="bg-BG"/>
        </w:rPr>
      </w:pPr>
    </w:p>
    <w:p w:rsidR="005956DE" w:rsidRPr="00C92007" w:rsidRDefault="005956DE" w:rsidP="005956DE">
      <w:pPr>
        <w:spacing w:after="0"/>
        <w:jc w:val="center"/>
        <w:rPr>
          <w:rFonts w:ascii="Verdana" w:hAnsi="Verdana"/>
          <w:b/>
          <w:sz w:val="20"/>
          <w:szCs w:val="20"/>
          <w:lang w:val="bg-BG"/>
        </w:rPr>
      </w:pPr>
      <w:r w:rsidRPr="00C92007">
        <w:rPr>
          <w:rFonts w:ascii="Times New Roman" w:eastAsia="Times New Roman" w:hAnsi="Times New Roman" w:cs="Times New Roman"/>
          <w:noProof/>
          <w:color w:val="0000FF"/>
          <w:sz w:val="24"/>
          <w:szCs w:val="24"/>
          <w:lang w:eastAsia="ru-RU"/>
        </w:rPr>
        <w:drawing>
          <wp:anchor distT="0" distB="0" distL="114300" distR="180340" simplePos="0" relativeHeight="251659264" behindDoc="0" locked="0" layoutInCell="1" allowOverlap="1" wp14:anchorId="289BF08A" wp14:editId="01679D01">
            <wp:simplePos x="0" y="0"/>
            <wp:positionH relativeFrom="column">
              <wp:posOffset>-635</wp:posOffset>
            </wp:positionH>
            <wp:positionV relativeFrom="paragraph">
              <wp:posOffset>3175</wp:posOffset>
            </wp:positionV>
            <wp:extent cx="2761200" cy="1843200"/>
            <wp:effectExtent l="0" t="0" r="1270" b="5080"/>
            <wp:wrapSquare wrapText="bothSides"/>
            <wp:docPr id="12" name="Рисунок 12" descr="http://vedofood.info/wp-content/uploads/2014/12/%D0%91%D0%AE%D0%91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dofood.info/wp-content/uploads/2014/12/%D0%91%D0%AE%D0%912.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200" cy="18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007">
        <w:rPr>
          <w:rFonts w:ascii="Verdana" w:hAnsi="Verdana"/>
          <w:b/>
          <w:sz w:val="20"/>
          <w:szCs w:val="20"/>
          <w:lang w:val="bg-BG"/>
        </w:rPr>
        <w:t>ВНОСЪТ НА ПРЕСНИ ПЛОДОВЕ, СУШЕНИ ПЛОДОВЕ И ЯДКИ В РУСИЯ.</w:t>
      </w:r>
    </w:p>
    <w:p w:rsidR="005956DE" w:rsidRDefault="005956DE" w:rsidP="005956DE">
      <w:pPr>
        <w:spacing w:after="0"/>
        <w:rPr>
          <w:rFonts w:ascii="Verdana" w:eastAsia="Calibri" w:hAnsi="Verdana" w:cs="Times New Roman"/>
          <w:sz w:val="20"/>
          <w:szCs w:val="20"/>
          <w:lang w:val="bg-BG"/>
        </w:rPr>
      </w:pPr>
    </w:p>
    <w:p w:rsidR="005956DE" w:rsidRPr="00556CD1" w:rsidRDefault="005956DE" w:rsidP="005956DE">
      <w:pPr>
        <w:spacing w:after="0"/>
        <w:ind w:firstLine="708"/>
        <w:rPr>
          <w:rFonts w:ascii="Verdana" w:eastAsia="Calibri" w:hAnsi="Verdana" w:cs="Times New Roman"/>
          <w:sz w:val="20"/>
          <w:szCs w:val="20"/>
          <w:lang w:val="bg-BG"/>
        </w:rPr>
      </w:pPr>
      <w:r w:rsidRPr="00C92007">
        <w:rPr>
          <w:rFonts w:ascii="Verdana" w:eastAsia="Calibri" w:hAnsi="Verdana" w:cs="Times New Roman"/>
          <w:sz w:val="20"/>
          <w:szCs w:val="20"/>
          <w:lang w:val="bg-BG"/>
        </w:rPr>
        <w:t>През последните три години вносът на плодове и ядки, включително на фъстъци е намалял с 31%.</w:t>
      </w:r>
    </w:p>
    <w:p w:rsidR="005956DE" w:rsidRPr="00556CD1" w:rsidRDefault="005956DE" w:rsidP="005956DE">
      <w:pPr>
        <w:spacing w:after="0"/>
        <w:ind w:firstLine="708"/>
        <w:jc w:val="both"/>
        <w:rPr>
          <w:rFonts w:ascii="Verdana" w:eastAsia="Calibri" w:hAnsi="Verdana" w:cs="Times New Roman"/>
          <w:sz w:val="20"/>
          <w:szCs w:val="20"/>
          <w:lang w:val="bg-BG"/>
        </w:rPr>
      </w:pPr>
      <w:r w:rsidRPr="00556CD1">
        <w:rPr>
          <w:rFonts w:ascii="Verdana" w:eastAsia="Calibri" w:hAnsi="Verdana" w:cs="Times New Roman"/>
          <w:sz w:val="20"/>
          <w:szCs w:val="20"/>
          <w:lang w:val="bg-BG"/>
        </w:rPr>
        <w:t>През януари-февруари 2016 г., се наблюдава увеличаване на обема на доставките с 8.3% спрямо същия период на 2015 г.</w:t>
      </w:r>
    </w:p>
    <w:p w:rsidR="005956DE" w:rsidRPr="00556CD1" w:rsidRDefault="005956DE" w:rsidP="005956DE">
      <w:pPr>
        <w:spacing w:after="0"/>
        <w:ind w:firstLine="708"/>
        <w:jc w:val="both"/>
        <w:rPr>
          <w:rFonts w:ascii="Verdana" w:eastAsia="Calibri" w:hAnsi="Verdana" w:cs="Times New Roman"/>
          <w:sz w:val="20"/>
          <w:szCs w:val="20"/>
          <w:lang w:val="bg-BG"/>
        </w:rPr>
      </w:pPr>
      <w:r w:rsidRPr="00556CD1">
        <w:rPr>
          <w:rFonts w:ascii="Verdana" w:eastAsia="Calibri" w:hAnsi="Verdana" w:cs="Times New Roman"/>
          <w:sz w:val="20"/>
          <w:szCs w:val="20"/>
          <w:lang w:val="bg-BG"/>
        </w:rPr>
        <w:t>Безспорно, основният фактор за намаляване на обема на вноса на плодове и ядки в страната са мерките, наложени от правителството на РФ в отговор на анти-руските санкции. През 2013 г. делът на страните от ЕС е възлизал на една четвърт от общият обем на внос на тази продукция в реално изражение (без да се имат предвид страните от Митническия съюз). През 2014 г. делът на тези страни е намалял до 18,4%, а през 2015 г. той вече е по-малко от 0.01%.</w:t>
      </w:r>
    </w:p>
    <w:p w:rsidR="005956DE" w:rsidRDefault="005956DE" w:rsidP="005956DE">
      <w:pPr>
        <w:spacing w:after="0"/>
        <w:ind w:firstLine="708"/>
        <w:jc w:val="both"/>
        <w:rPr>
          <w:rFonts w:ascii="Verdana" w:eastAsia="Calibri" w:hAnsi="Verdana" w:cs="Times New Roman"/>
          <w:i/>
          <w:sz w:val="20"/>
          <w:szCs w:val="20"/>
          <w:lang w:val="bg-BG"/>
        </w:rPr>
      </w:pPr>
      <w:r w:rsidRPr="00556CD1">
        <w:rPr>
          <w:rFonts w:ascii="Verdana" w:eastAsia="Calibri" w:hAnsi="Verdana" w:cs="Times New Roman"/>
          <w:sz w:val="20"/>
          <w:szCs w:val="20"/>
          <w:lang w:val="bg-BG"/>
        </w:rPr>
        <w:t>Преди въвеждането на санкциите през август 2014 г., ЕС е заемал водеща позиция във вноса на ядки и плодове. Например, делът на тези страни е възлизал по сегменти: ябълки - 61,5% от доставките в натурално изражение, круши - 53.2%, праскови и нектарини - 77,8%, киви - 54%, ягоди и малини - 66,4% и в сегмента на плодове и ядки, обработени със захар или без захар - 59,8%.</w:t>
      </w:r>
    </w:p>
    <w:p w:rsidR="005956DE" w:rsidRDefault="005956DE" w:rsidP="005956DE">
      <w:pPr>
        <w:spacing w:after="0"/>
        <w:jc w:val="center"/>
        <w:rPr>
          <w:rFonts w:ascii="Verdana" w:eastAsia="Calibri" w:hAnsi="Verdana" w:cs="Times New Roman"/>
          <w:i/>
          <w:sz w:val="20"/>
          <w:szCs w:val="20"/>
          <w:lang w:val="bg-BG"/>
        </w:rPr>
      </w:pPr>
    </w:p>
    <w:p w:rsidR="005956DE" w:rsidRPr="00556CD1" w:rsidRDefault="005956DE" w:rsidP="005956DE">
      <w:pPr>
        <w:spacing w:after="0"/>
        <w:jc w:val="center"/>
        <w:rPr>
          <w:rFonts w:ascii="Verdana" w:eastAsia="Times New Roman" w:hAnsi="Verdana" w:cs="Times New Roman"/>
          <w:color w:val="000000"/>
          <w:sz w:val="20"/>
          <w:szCs w:val="20"/>
          <w:lang w:eastAsia="ru-RU"/>
        </w:rPr>
      </w:pPr>
      <w:r w:rsidRPr="00C92007">
        <w:rPr>
          <w:rFonts w:ascii="Verdana" w:eastAsia="Calibri" w:hAnsi="Verdana" w:cs="Times New Roman"/>
          <w:b/>
          <w:i/>
          <w:sz w:val="18"/>
          <w:szCs w:val="18"/>
          <w:lang w:val="bg-BG"/>
        </w:rPr>
        <w:t xml:space="preserve">Динамика на </w:t>
      </w:r>
      <w:r w:rsidRPr="00CA3DF6">
        <w:rPr>
          <w:rFonts w:ascii="Verdana" w:eastAsia="Calibri" w:hAnsi="Verdana" w:cs="Times New Roman"/>
          <w:b/>
          <w:i/>
          <w:sz w:val="18"/>
          <w:szCs w:val="18"/>
          <w:lang w:val="bg-BG"/>
        </w:rPr>
        <w:t xml:space="preserve">вноса </w:t>
      </w:r>
      <w:r w:rsidRPr="00C92007">
        <w:rPr>
          <w:rFonts w:ascii="Verdana" w:eastAsia="Calibri" w:hAnsi="Verdana" w:cs="Times New Roman"/>
          <w:b/>
          <w:i/>
          <w:sz w:val="18"/>
          <w:szCs w:val="18"/>
          <w:lang w:val="bg-BG"/>
        </w:rPr>
        <w:t>на плодове и ядки от 2013 г. до февруари 2016 г./хил. т.</w:t>
      </w:r>
      <w:r w:rsidRPr="00556CD1">
        <w:rPr>
          <w:rFonts w:ascii="Verdana" w:eastAsia="Times New Roman" w:hAnsi="Verdana" w:cs="Times New Roman"/>
          <w:noProof/>
          <w:color w:val="000000"/>
          <w:sz w:val="20"/>
          <w:szCs w:val="20"/>
          <w:lang w:eastAsia="ru-RU"/>
        </w:rPr>
        <w:drawing>
          <wp:inline distT="0" distB="0" distL="0" distR="0" wp14:anchorId="7EFEE2B0" wp14:editId="134B640A">
            <wp:extent cx="4009292" cy="2280138"/>
            <wp:effectExtent l="0" t="0" r="0" b="63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56DE" w:rsidRDefault="005956DE" w:rsidP="005956DE">
      <w:pPr>
        <w:spacing w:after="0"/>
        <w:jc w:val="center"/>
        <w:rPr>
          <w:rFonts w:ascii="Verdana" w:eastAsia="Calibri" w:hAnsi="Verdana" w:cs="Times New Roman"/>
          <w:i/>
          <w:sz w:val="20"/>
          <w:szCs w:val="20"/>
          <w:lang w:val="bg-BG"/>
        </w:rPr>
      </w:pPr>
    </w:p>
    <w:p w:rsidR="005956DE" w:rsidRDefault="005956DE" w:rsidP="005956DE">
      <w:pPr>
        <w:spacing w:after="0"/>
        <w:jc w:val="center"/>
        <w:rPr>
          <w:rFonts w:ascii="Verdana" w:eastAsia="Times New Roman" w:hAnsi="Verdana" w:cs="Times New Roman"/>
          <w:color w:val="FF0000"/>
          <w:sz w:val="20"/>
          <w:szCs w:val="20"/>
          <w:lang w:val="bg-BG" w:eastAsia="ru-RU"/>
        </w:rPr>
      </w:pPr>
    </w:p>
    <w:p w:rsidR="005956DE" w:rsidRDefault="005956DE" w:rsidP="005956DE">
      <w:pPr>
        <w:spacing w:after="0"/>
        <w:ind w:firstLine="708"/>
        <w:jc w:val="both"/>
        <w:rPr>
          <w:rFonts w:ascii="Verdana" w:eastAsia="Times New Roman" w:hAnsi="Verdana" w:cs="Times New Roman"/>
          <w:b/>
          <w:sz w:val="20"/>
          <w:szCs w:val="20"/>
          <w:lang w:val="bg-BG" w:eastAsia="ru-RU"/>
        </w:rPr>
      </w:pPr>
      <w:r>
        <w:rPr>
          <w:rFonts w:ascii="Verdana" w:eastAsia="Times New Roman" w:hAnsi="Verdana" w:cs="Times New Roman"/>
          <w:b/>
          <w:sz w:val="20"/>
          <w:szCs w:val="20"/>
          <w:lang w:val="bg-BG" w:eastAsia="ru-RU"/>
        </w:rPr>
        <w:t xml:space="preserve">1. </w:t>
      </w:r>
      <w:r w:rsidRPr="008830F3">
        <w:rPr>
          <w:rFonts w:ascii="Verdana" w:eastAsia="Times New Roman" w:hAnsi="Verdana" w:cs="Times New Roman"/>
          <w:b/>
          <w:sz w:val="20"/>
          <w:szCs w:val="20"/>
          <w:lang w:val="bg-BG" w:eastAsia="ru-RU"/>
        </w:rPr>
        <w:t>Пресни и сушени плодове.</w:t>
      </w:r>
    </w:p>
    <w:p w:rsidR="005956DE" w:rsidRPr="008830F3" w:rsidRDefault="005956DE" w:rsidP="005956DE">
      <w:pPr>
        <w:spacing w:after="0"/>
        <w:ind w:firstLine="708"/>
        <w:jc w:val="both"/>
        <w:rPr>
          <w:rFonts w:ascii="Verdana" w:eastAsia="Times New Roman" w:hAnsi="Verdana" w:cs="Times New Roman"/>
          <w:sz w:val="20"/>
          <w:szCs w:val="20"/>
          <w:lang w:val="bg-BG" w:eastAsia="ru-RU"/>
        </w:rPr>
      </w:pPr>
      <w:r w:rsidRPr="008830F3">
        <w:rPr>
          <w:rFonts w:ascii="Verdana" w:eastAsia="Times New Roman" w:hAnsi="Verdana" w:cs="Times New Roman"/>
          <w:sz w:val="20"/>
          <w:szCs w:val="20"/>
          <w:lang w:val="bg-BG" w:eastAsia="ru-RU"/>
        </w:rPr>
        <w:t xml:space="preserve">В стуктурата на вноса на пресни и сушени плодове, най-голям обема </w:t>
      </w:r>
      <w:r>
        <w:rPr>
          <w:rFonts w:ascii="Verdana" w:eastAsia="Times New Roman" w:hAnsi="Verdana" w:cs="Times New Roman"/>
          <w:sz w:val="20"/>
          <w:szCs w:val="20"/>
          <w:lang w:val="bg-BG" w:eastAsia="ru-RU"/>
        </w:rPr>
        <w:t>заемат</w:t>
      </w:r>
      <w:r w:rsidRPr="008830F3">
        <w:rPr>
          <w:rFonts w:ascii="Verdana" w:eastAsia="Times New Roman" w:hAnsi="Verdana" w:cs="Times New Roman"/>
          <w:sz w:val="20"/>
          <w:szCs w:val="20"/>
          <w:lang w:val="bg-BG" w:eastAsia="ru-RU"/>
        </w:rPr>
        <w:t xml:space="preserve"> цитрусови</w:t>
      </w:r>
      <w:r>
        <w:rPr>
          <w:rFonts w:ascii="Verdana" w:eastAsia="Times New Roman" w:hAnsi="Verdana" w:cs="Times New Roman"/>
          <w:sz w:val="20"/>
          <w:szCs w:val="20"/>
          <w:lang w:val="bg-BG" w:eastAsia="ru-RU"/>
        </w:rPr>
        <w:t>те</w:t>
      </w:r>
      <w:r w:rsidRPr="008830F3">
        <w:rPr>
          <w:rFonts w:ascii="Verdana" w:eastAsia="Times New Roman" w:hAnsi="Verdana" w:cs="Times New Roman"/>
          <w:sz w:val="20"/>
          <w:szCs w:val="20"/>
          <w:lang w:val="bg-BG" w:eastAsia="ru-RU"/>
        </w:rPr>
        <w:t xml:space="preserve"> плодове, банани</w:t>
      </w:r>
      <w:r>
        <w:rPr>
          <w:rFonts w:ascii="Verdana" w:eastAsia="Times New Roman" w:hAnsi="Verdana" w:cs="Times New Roman"/>
          <w:sz w:val="20"/>
          <w:szCs w:val="20"/>
          <w:lang w:val="bg-BG" w:eastAsia="ru-RU"/>
        </w:rPr>
        <w:t>те</w:t>
      </w:r>
      <w:r w:rsidRPr="008830F3">
        <w:rPr>
          <w:rFonts w:ascii="Verdana" w:eastAsia="Times New Roman" w:hAnsi="Verdana" w:cs="Times New Roman"/>
          <w:sz w:val="20"/>
          <w:szCs w:val="20"/>
          <w:lang w:val="bg-BG" w:eastAsia="ru-RU"/>
        </w:rPr>
        <w:t xml:space="preserve"> и ябълки</w:t>
      </w:r>
      <w:r>
        <w:rPr>
          <w:rFonts w:ascii="Verdana" w:eastAsia="Times New Roman" w:hAnsi="Verdana" w:cs="Times New Roman"/>
          <w:sz w:val="20"/>
          <w:szCs w:val="20"/>
          <w:lang w:val="bg-BG" w:eastAsia="ru-RU"/>
        </w:rPr>
        <w:t>те</w:t>
      </w:r>
      <w:r w:rsidRPr="008830F3">
        <w:rPr>
          <w:rFonts w:ascii="Verdana" w:eastAsia="Times New Roman" w:hAnsi="Verdana" w:cs="Times New Roman"/>
          <w:sz w:val="20"/>
          <w:szCs w:val="20"/>
          <w:lang w:val="bg-BG" w:eastAsia="ru-RU"/>
        </w:rPr>
        <w:t>.</w:t>
      </w:r>
    </w:p>
    <w:p w:rsidR="005956DE" w:rsidRPr="008830F3" w:rsidRDefault="005956DE" w:rsidP="005956DE">
      <w:pPr>
        <w:spacing w:after="0"/>
        <w:ind w:firstLine="708"/>
        <w:jc w:val="both"/>
        <w:rPr>
          <w:rFonts w:ascii="Verdana" w:eastAsia="Times New Roman" w:hAnsi="Verdana" w:cs="Times New Roman"/>
          <w:sz w:val="20"/>
          <w:szCs w:val="20"/>
          <w:lang w:val="bg-BG" w:eastAsia="ru-RU"/>
        </w:rPr>
      </w:pPr>
      <w:r w:rsidRPr="008830F3">
        <w:rPr>
          <w:rFonts w:ascii="Verdana" w:eastAsia="Times New Roman" w:hAnsi="Verdana" w:cs="Times New Roman"/>
          <w:sz w:val="20"/>
          <w:szCs w:val="20"/>
          <w:lang w:val="bg-BG" w:eastAsia="ru-RU"/>
        </w:rPr>
        <w:t xml:space="preserve">Най-големите доставчици на </w:t>
      </w:r>
      <w:r w:rsidRPr="00E861F9">
        <w:rPr>
          <w:rFonts w:ascii="Verdana" w:eastAsia="Times New Roman" w:hAnsi="Verdana" w:cs="Times New Roman"/>
          <w:b/>
          <w:sz w:val="20"/>
          <w:szCs w:val="20"/>
          <w:lang w:val="bg-BG" w:eastAsia="ru-RU"/>
        </w:rPr>
        <w:t>цитрусови</w:t>
      </w:r>
      <w:r w:rsidRPr="008830F3">
        <w:rPr>
          <w:rFonts w:ascii="Verdana" w:eastAsia="Times New Roman" w:hAnsi="Verdana" w:cs="Times New Roman"/>
          <w:sz w:val="20"/>
          <w:szCs w:val="20"/>
          <w:lang w:val="bg-BG" w:eastAsia="ru-RU"/>
        </w:rPr>
        <w:t xml:space="preserve"> за Русия са три страни - Турция, Египет и Мароко, </w:t>
      </w:r>
      <w:r>
        <w:rPr>
          <w:rFonts w:ascii="Verdana" w:eastAsia="Times New Roman" w:hAnsi="Verdana" w:cs="Times New Roman"/>
          <w:sz w:val="20"/>
          <w:szCs w:val="20"/>
          <w:lang w:val="bg-BG" w:eastAsia="ru-RU"/>
        </w:rPr>
        <w:t xml:space="preserve">общият </w:t>
      </w:r>
      <w:r w:rsidRPr="008830F3">
        <w:rPr>
          <w:rFonts w:ascii="Verdana" w:eastAsia="Times New Roman" w:hAnsi="Verdana" w:cs="Times New Roman"/>
          <w:sz w:val="20"/>
          <w:szCs w:val="20"/>
          <w:lang w:val="bg-BG" w:eastAsia="ru-RU"/>
        </w:rPr>
        <w:t>д</w:t>
      </w:r>
      <w:r>
        <w:rPr>
          <w:rFonts w:ascii="Verdana" w:eastAsia="Times New Roman" w:hAnsi="Verdana" w:cs="Times New Roman"/>
          <w:sz w:val="20"/>
          <w:szCs w:val="20"/>
          <w:lang w:val="bg-BG" w:eastAsia="ru-RU"/>
        </w:rPr>
        <w:t>ял</w:t>
      </w:r>
      <w:r w:rsidRPr="008830F3">
        <w:rPr>
          <w:rFonts w:ascii="Verdana" w:eastAsia="Times New Roman" w:hAnsi="Verdana" w:cs="Times New Roman"/>
          <w:sz w:val="20"/>
          <w:szCs w:val="20"/>
          <w:lang w:val="bg-BG" w:eastAsia="ru-RU"/>
        </w:rPr>
        <w:t xml:space="preserve"> на които възлиза на 65% от вноса в </w:t>
      </w:r>
      <w:r>
        <w:rPr>
          <w:rFonts w:ascii="Verdana" w:eastAsia="Times New Roman" w:hAnsi="Verdana" w:cs="Times New Roman"/>
          <w:sz w:val="20"/>
          <w:szCs w:val="20"/>
          <w:lang w:val="bg-BG" w:eastAsia="ru-RU"/>
        </w:rPr>
        <w:t>реално</w:t>
      </w:r>
      <w:r w:rsidRPr="008830F3">
        <w:rPr>
          <w:rFonts w:ascii="Verdana" w:eastAsia="Times New Roman" w:hAnsi="Verdana" w:cs="Times New Roman"/>
          <w:sz w:val="20"/>
          <w:szCs w:val="20"/>
          <w:lang w:val="bg-BG" w:eastAsia="ru-RU"/>
        </w:rPr>
        <w:t xml:space="preserve"> изражение през 2015 г.</w:t>
      </w:r>
    </w:p>
    <w:p w:rsidR="005956DE" w:rsidRPr="008830F3" w:rsidRDefault="005956DE" w:rsidP="005956DE">
      <w:pPr>
        <w:spacing w:after="0"/>
        <w:ind w:firstLine="708"/>
        <w:jc w:val="both"/>
        <w:rPr>
          <w:rFonts w:ascii="Verdana" w:eastAsia="Times New Roman" w:hAnsi="Verdana" w:cs="Times New Roman"/>
          <w:sz w:val="20"/>
          <w:szCs w:val="20"/>
          <w:lang w:val="bg-BG" w:eastAsia="ru-RU"/>
        </w:rPr>
      </w:pPr>
    </w:p>
    <w:p w:rsidR="005956DE" w:rsidRDefault="005956DE" w:rsidP="005956DE">
      <w:pPr>
        <w:spacing w:after="0"/>
        <w:rPr>
          <w:rFonts w:ascii="Verdana" w:eastAsia="Times New Roman" w:hAnsi="Verdana" w:cs="Times New Roman"/>
          <w:b/>
          <w:i/>
          <w:sz w:val="18"/>
          <w:szCs w:val="18"/>
          <w:lang w:val="bg-BG" w:eastAsia="ru-RU"/>
        </w:rPr>
      </w:pPr>
      <w:r w:rsidRPr="008830F3">
        <w:rPr>
          <w:rFonts w:ascii="Verdana" w:eastAsia="Times New Roman" w:hAnsi="Verdana" w:cs="Times New Roman"/>
          <w:b/>
          <w:i/>
          <w:sz w:val="18"/>
          <w:szCs w:val="18"/>
          <w:lang w:val="bg-BG" w:eastAsia="ru-RU"/>
        </w:rPr>
        <w:t>Структура на импорта на цитрусови по страни</w:t>
      </w:r>
    </w:p>
    <w:p w:rsidR="005956DE" w:rsidRDefault="005956DE" w:rsidP="005956DE">
      <w:pPr>
        <w:spacing w:after="0"/>
        <w:rPr>
          <w:rFonts w:ascii="Verdana" w:eastAsia="Times New Roman" w:hAnsi="Verdana" w:cs="Times New Roman"/>
          <w:b/>
          <w:i/>
          <w:sz w:val="18"/>
          <w:szCs w:val="18"/>
          <w:lang w:val="bg-BG" w:eastAsia="ru-RU"/>
        </w:rPr>
      </w:pPr>
      <w:r w:rsidRPr="008830F3">
        <w:rPr>
          <w:rFonts w:ascii="Verdana" w:eastAsia="Times New Roman" w:hAnsi="Verdana" w:cs="Times New Roman"/>
          <w:b/>
          <w:i/>
          <w:sz w:val="18"/>
          <w:szCs w:val="18"/>
          <w:lang w:val="bg-BG" w:eastAsia="ru-RU"/>
        </w:rPr>
        <w:t>за 2015 г. в натурално изражение, %</w:t>
      </w:r>
    </w:p>
    <w:p w:rsidR="005956DE" w:rsidRDefault="005956DE" w:rsidP="005956DE">
      <w:pPr>
        <w:pStyle w:val="a4"/>
        <w:spacing w:line="276" w:lineRule="auto"/>
        <w:ind w:firstLine="708"/>
        <w:jc w:val="both"/>
        <w:rPr>
          <w:rFonts w:ascii="Verdana" w:hAnsi="Verdana"/>
          <w:sz w:val="20"/>
          <w:szCs w:val="20"/>
          <w:lang w:val="bg-BG" w:eastAsia="ru-RU"/>
        </w:rPr>
      </w:pPr>
      <w:r w:rsidRPr="0002721E">
        <w:rPr>
          <w:rFonts w:ascii="Verdana" w:hAnsi="Verdana"/>
          <w:noProof/>
          <w:sz w:val="20"/>
          <w:szCs w:val="20"/>
          <w:lang w:eastAsia="ru-RU"/>
        </w:rPr>
        <w:lastRenderedPageBreak/>
        <w:drawing>
          <wp:anchor distT="0" distB="0" distL="114300" distR="114300" simplePos="0" relativeHeight="251660288" behindDoc="0" locked="0" layoutInCell="1" allowOverlap="1" wp14:anchorId="4E499A71" wp14:editId="78B6AD79">
            <wp:simplePos x="0" y="0"/>
            <wp:positionH relativeFrom="column">
              <wp:posOffset>37465</wp:posOffset>
            </wp:positionH>
            <wp:positionV relativeFrom="paragraph">
              <wp:posOffset>34290</wp:posOffset>
            </wp:positionV>
            <wp:extent cx="2520950" cy="2762250"/>
            <wp:effectExtent l="0" t="0" r="0" b="0"/>
            <wp:wrapSquare wrapText="bothSides"/>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02721E">
        <w:rPr>
          <w:rFonts w:ascii="Verdana" w:hAnsi="Verdana"/>
          <w:sz w:val="20"/>
          <w:szCs w:val="20"/>
          <w:lang w:val="bg-BG" w:eastAsia="ru-RU"/>
        </w:rPr>
        <w:t>Лидер, според резултатите от</w:t>
      </w:r>
      <w:r>
        <w:rPr>
          <w:rFonts w:ascii="Verdana" w:hAnsi="Verdana"/>
          <w:sz w:val="20"/>
          <w:szCs w:val="20"/>
          <w:lang w:val="bg-BG" w:eastAsia="ru-RU"/>
        </w:rPr>
        <w:t xml:space="preserve"> изминалата година е Турция, чий</w:t>
      </w:r>
      <w:r w:rsidRPr="0002721E">
        <w:rPr>
          <w:rFonts w:ascii="Verdana" w:hAnsi="Verdana"/>
          <w:sz w:val="20"/>
          <w:szCs w:val="20"/>
          <w:lang w:val="bg-BG" w:eastAsia="ru-RU"/>
        </w:rPr>
        <w:t>то внос се е увеличил с 3</w:t>
      </w:r>
      <w:r>
        <w:rPr>
          <w:rFonts w:ascii="Verdana" w:hAnsi="Verdana"/>
          <w:sz w:val="20"/>
          <w:szCs w:val="20"/>
          <w:lang w:val="bg-BG" w:eastAsia="ru-RU"/>
        </w:rPr>
        <w:t>,</w:t>
      </w:r>
      <w:r w:rsidRPr="0002721E">
        <w:rPr>
          <w:rFonts w:ascii="Verdana" w:hAnsi="Verdana"/>
          <w:sz w:val="20"/>
          <w:szCs w:val="20"/>
          <w:lang w:val="bg-BG" w:eastAsia="ru-RU"/>
        </w:rPr>
        <w:t xml:space="preserve">4% в сравнение с 2014 г. Въпреки това, през януари-февруари 2016 г. вноса на цитрусови от Турция е намалял с 75,6% в сравнение с аналогичния период </w:t>
      </w:r>
      <w:r>
        <w:rPr>
          <w:rFonts w:ascii="Verdana" w:hAnsi="Verdana"/>
          <w:sz w:val="20"/>
          <w:szCs w:val="20"/>
          <w:lang w:val="bg-BG" w:eastAsia="ru-RU"/>
        </w:rPr>
        <w:t>на</w:t>
      </w:r>
      <w:r w:rsidRPr="0002721E">
        <w:rPr>
          <w:rFonts w:ascii="Verdana" w:hAnsi="Verdana"/>
          <w:sz w:val="20"/>
          <w:szCs w:val="20"/>
          <w:lang w:val="bg-BG" w:eastAsia="ru-RU"/>
        </w:rPr>
        <w:t xml:space="preserve"> 2015 г. - от 138,7 хил. т. до 33,8 хил</w:t>
      </w:r>
      <w:r>
        <w:rPr>
          <w:rFonts w:ascii="Verdana" w:hAnsi="Verdana"/>
          <w:sz w:val="20"/>
          <w:szCs w:val="20"/>
          <w:lang w:val="bg-BG" w:eastAsia="ru-RU"/>
        </w:rPr>
        <w:t>.</w:t>
      </w:r>
      <w:r w:rsidRPr="0002721E">
        <w:rPr>
          <w:rFonts w:ascii="Verdana" w:hAnsi="Verdana"/>
          <w:sz w:val="20"/>
          <w:szCs w:val="20"/>
          <w:lang w:val="bg-BG" w:eastAsia="ru-RU"/>
        </w:rPr>
        <w:t xml:space="preserve">т. </w:t>
      </w:r>
      <w:r>
        <w:rPr>
          <w:rFonts w:ascii="Verdana" w:hAnsi="Verdana"/>
          <w:sz w:val="20"/>
          <w:szCs w:val="20"/>
          <w:lang w:val="bg-BG" w:eastAsia="ru-RU"/>
        </w:rPr>
        <w:t>Е</w:t>
      </w:r>
      <w:r w:rsidRPr="0002721E">
        <w:rPr>
          <w:rFonts w:ascii="Verdana" w:hAnsi="Verdana"/>
          <w:sz w:val="20"/>
          <w:szCs w:val="20"/>
          <w:lang w:val="bg-BG" w:eastAsia="ru-RU"/>
        </w:rPr>
        <w:t>гипетска продукция е били внесена с 44% повече, отколкото през януари-февруари 2015 г. – 103,6 хил.т. срещу 72 хил.т.</w:t>
      </w:r>
    </w:p>
    <w:p w:rsidR="005956DE" w:rsidRDefault="005956DE" w:rsidP="005956DE">
      <w:pPr>
        <w:pStyle w:val="a4"/>
        <w:spacing w:line="276" w:lineRule="auto"/>
        <w:ind w:firstLine="708"/>
        <w:jc w:val="both"/>
        <w:rPr>
          <w:rFonts w:ascii="Verdana" w:hAnsi="Verdana"/>
          <w:sz w:val="20"/>
          <w:szCs w:val="20"/>
          <w:lang w:val="bg-BG" w:eastAsia="ru-RU"/>
        </w:rPr>
      </w:pPr>
      <w:r w:rsidRPr="0002721E">
        <w:rPr>
          <w:rFonts w:ascii="Verdana" w:hAnsi="Verdana"/>
          <w:sz w:val="20"/>
          <w:szCs w:val="20"/>
          <w:lang w:val="bg-BG" w:eastAsia="ru-RU"/>
        </w:rPr>
        <w:t xml:space="preserve">Също така, с 32% се е увеличил вноса на марокански плодове - от 46,8 хил.т. до 61.7 хил.т. В допълнение, следва да се отбележи, че от началото на годината почти двукратно се е увеличил вноса на цитрусови от Китай - от 15,970 хил.т. до 31,8 хил.т. </w:t>
      </w:r>
    </w:p>
    <w:p w:rsidR="005956DE" w:rsidRDefault="005956DE" w:rsidP="005956DE">
      <w:pPr>
        <w:pStyle w:val="a4"/>
        <w:spacing w:line="276" w:lineRule="auto"/>
        <w:ind w:firstLine="708"/>
        <w:jc w:val="both"/>
        <w:rPr>
          <w:rFonts w:ascii="Verdana" w:hAnsi="Verdana"/>
          <w:sz w:val="20"/>
          <w:szCs w:val="20"/>
          <w:lang w:val="bg-BG" w:eastAsia="ru-RU"/>
        </w:rPr>
      </w:pPr>
      <w:r w:rsidRPr="0002721E">
        <w:rPr>
          <w:rFonts w:ascii="Verdana" w:hAnsi="Verdana"/>
          <w:sz w:val="20"/>
          <w:szCs w:val="20"/>
          <w:lang w:val="bg-BG" w:eastAsia="ru-RU"/>
        </w:rPr>
        <w:t>Като цяло, внос</w:t>
      </w:r>
      <w:r>
        <w:rPr>
          <w:rFonts w:ascii="Verdana" w:hAnsi="Verdana"/>
          <w:sz w:val="20"/>
          <w:szCs w:val="20"/>
          <w:lang w:val="bg-BG" w:eastAsia="ru-RU"/>
        </w:rPr>
        <w:t>ът</w:t>
      </w:r>
      <w:r w:rsidRPr="0002721E">
        <w:rPr>
          <w:rFonts w:ascii="Verdana" w:hAnsi="Verdana"/>
          <w:sz w:val="20"/>
          <w:szCs w:val="20"/>
          <w:lang w:val="bg-BG" w:eastAsia="ru-RU"/>
        </w:rPr>
        <w:t xml:space="preserve"> на цитрусови плодове по резултатите от първите два месеца на 2016 г. е намалял с 11,4%.</w:t>
      </w:r>
    </w:p>
    <w:p w:rsidR="005956DE" w:rsidRDefault="005956DE" w:rsidP="005956DE">
      <w:pPr>
        <w:spacing w:after="0"/>
        <w:rPr>
          <w:rFonts w:ascii="Verdana" w:eastAsia="Times New Roman" w:hAnsi="Verdana" w:cs="Times New Roman"/>
          <w:sz w:val="20"/>
          <w:szCs w:val="20"/>
          <w:lang w:val="bg-BG" w:eastAsia="ru-RU"/>
        </w:rPr>
      </w:pPr>
    </w:p>
    <w:p w:rsidR="005956DE" w:rsidRDefault="005956DE" w:rsidP="005956DE">
      <w:pPr>
        <w:spacing w:after="0"/>
        <w:rPr>
          <w:rFonts w:ascii="Verdana" w:eastAsia="Times New Roman" w:hAnsi="Verdana" w:cs="Times New Roman"/>
          <w:b/>
          <w:i/>
          <w:sz w:val="18"/>
          <w:szCs w:val="18"/>
          <w:lang w:val="bg-BG" w:eastAsia="ru-RU"/>
        </w:rPr>
      </w:pPr>
      <w:r w:rsidRPr="00E861F9">
        <w:rPr>
          <w:rFonts w:ascii="Verdana" w:eastAsia="Times New Roman" w:hAnsi="Verdana" w:cs="Times New Roman"/>
          <w:b/>
          <w:i/>
          <w:sz w:val="18"/>
          <w:szCs w:val="18"/>
          <w:lang w:val="bg-BG" w:eastAsia="ru-RU"/>
        </w:rPr>
        <w:t>Структура на вноса на пресни ябълки по страни</w:t>
      </w:r>
    </w:p>
    <w:p w:rsidR="005956DE" w:rsidRDefault="005956DE" w:rsidP="005956DE">
      <w:pPr>
        <w:spacing w:after="0"/>
        <w:rPr>
          <w:rFonts w:ascii="Verdana" w:eastAsia="Times New Roman" w:hAnsi="Verdana" w:cs="Times New Roman"/>
          <w:b/>
          <w:i/>
          <w:sz w:val="18"/>
          <w:szCs w:val="18"/>
          <w:lang w:val="bg-BG" w:eastAsia="ru-RU"/>
        </w:rPr>
      </w:pPr>
      <w:r w:rsidRPr="00E861F9">
        <w:rPr>
          <w:rFonts w:ascii="Verdana" w:eastAsia="Times New Roman" w:hAnsi="Verdana" w:cs="Times New Roman"/>
          <w:b/>
          <w:i/>
          <w:sz w:val="18"/>
          <w:szCs w:val="18"/>
          <w:lang w:val="bg-BG" w:eastAsia="ru-RU"/>
        </w:rPr>
        <w:t>за 2015 г. в реално изражение, %</w:t>
      </w:r>
    </w:p>
    <w:p w:rsidR="005956DE" w:rsidRPr="005475CF" w:rsidRDefault="005956DE" w:rsidP="005956DE">
      <w:pPr>
        <w:spacing w:after="0"/>
        <w:rPr>
          <w:rFonts w:ascii="Verdana" w:eastAsia="Times New Roman" w:hAnsi="Verdana" w:cs="Times New Roman"/>
          <w:b/>
          <w:sz w:val="18"/>
          <w:szCs w:val="18"/>
          <w:lang w:val="bg-BG" w:eastAsia="ru-RU"/>
        </w:rPr>
      </w:pPr>
    </w:p>
    <w:p w:rsidR="005956DE" w:rsidRPr="00E861F9" w:rsidRDefault="005956DE" w:rsidP="005956DE">
      <w:pPr>
        <w:spacing w:after="0"/>
        <w:ind w:firstLine="708"/>
        <w:jc w:val="both"/>
        <w:rPr>
          <w:rFonts w:ascii="Verdana" w:eastAsia="Times New Roman" w:hAnsi="Verdana" w:cs="Times New Roman"/>
          <w:sz w:val="20"/>
          <w:szCs w:val="20"/>
          <w:lang w:val="bg-BG" w:eastAsia="ru-RU"/>
        </w:rPr>
      </w:pPr>
      <w:r w:rsidRPr="00E861F9">
        <w:rPr>
          <w:rFonts w:ascii="Verdana" w:eastAsia="Times New Roman" w:hAnsi="Verdana" w:cs="Times New Roman"/>
          <w:noProof/>
          <w:color w:val="000000"/>
          <w:sz w:val="20"/>
          <w:szCs w:val="20"/>
          <w:lang w:eastAsia="ru-RU"/>
        </w:rPr>
        <w:drawing>
          <wp:anchor distT="0" distB="0" distL="114300" distR="114300" simplePos="0" relativeHeight="251661312" behindDoc="0" locked="0" layoutInCell="1" allowOverlap="1" wp14:anchorId="132A05A7" wp14:editId="4E279389">
            <wp:simplePos x="0" y="0"/>
            <wp:positionH relativeFrom="column">
              <wp:posOffset>-635</wp:posOffset>
            </wp:positionH>
            <wp:positionV relativeFrom="paragraph">
              <wp:posOffset>-1270</wp:posOffset>
            </wp:positionV>
            <wp:extent cx="2260600" cy="2641600"/>
            <wp:effectExtent l="0" t="0" r="6350" b="0"/>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E861F9">
        <w:rPr>
          <w:rFonts w:ascii="Verdana" w:eastAsia="Times New Roman" w:hAnsi="Verdana" w:cs="Times New Roman"/>
          <w:sz w:val="20"/>
          <w:szCs w:val="20"/>
          <w:lang w:val="bg-BG" w:eastAsia="ru-RU"/>
        </w:rPr>
        <w:t xml:space="preserve">Друг основен сегмент на вноса в Русия са </w:t>
      </w:r>
      <w:r w:rsidRPr="00E861F9">
        <w:rPr>
          <w:rFonts w:ascii="Verdana" w:eastAsia="Times New Roman" w:hAnsi="Verdana" w:cs="Times New Roman"/>
          <w:b/>
          <w:sz w:val="20"/>
          <w:szCs w:val="20"/>
          <w:lang w:val="bg-BG" w:eastAsia="ru-RU"/>
        </w:rPr>
        <w:t>ябълките</w:t>
      </w:r>
      <w:r w:rsidRPr="00E861F9">
        <w:rPr>
          <w:rFonts w:ascii="Verdana" w:eastAsia="Times New Roman" w:hAnsi="Verdana" w:cs="Times New Roman"/>
          <w:sz w:val="20"/>
          <w:szCs w:val="20"/>
          <w:lang w:val="bg-BG" w:eastAsia="ru-RU"/>
        </w:rPr>
        <w:t>. Доставките на този продукт през 2013 г. са възлизали на 21,3% от общия внос на пресни и сушени плодове. През 2015 г. този дял е намалял до 11,3%.</w:t>
      </w:r>
    </w:p>
    <w:p w:rsidR="005956DE" w:rsidRDefault="005956DE" w:rsidP="005956DE">
      <w:pPr>
        <w:spacing w:after="0"/>
        <w:ind w:firstLine="708"/>
        <w:jc w:val="both"/>
        <w:rPr>
          <w:rFonts w:ascii="Verdana" w:eastAsia="Times New Roman" w:hAnsi="Verdana" w:cs="Times New Roman"/>
          <w:sz w:val="20"/>
          <w:szCs w:val="20"/>
          <w:lang w:val="bg-BG" w:eastAsia="ru-RU"/>
        </w:rPr>
      </w:pPr>
      <w:r w:rsidRPr="00E861F9">
        <w:rPr>
          <w:rFonts w:ascii="Verdana" w:eastAsia="Times New Roman" w:hAnsi="Verdana" w:cs="Times New Roman"/>
          <w:sz w:val="20"/>
          <w:szCs w:val="20"/>
          <w:lang w:val="bg-BG" w:eastAsia="ru-RU"/>
        </w:rPr>
        <w:t>Основният доставчик на пресни ябълки в Русия преди въвеждането на ответните санкции е била Полша - през 2013 г. нейният дял е бил 55% от вноса. На второ място е Молдова с дял от 14,1%, и затваря челната тройка Китай с дял от 8,6%. През 2015 г. лидерското място за внос на пресни ябълки в Русия заема Сърбия, като доставките й в течение на три години са се увеличили с 2,3 пъти.</w:t>
      </w:r>
    </w:p>
    <w:p w:rsidR="005956DE" w:rsidRPr="005475CF" w:rsidRDefault="005956DE" w:rsidP="005956DE">
      <w:pPr>
        <w:spacing w:after="0"/>
        <w:ind w:firstLine="708"/>
        <w:jc w:val="both"/>
        <w:rPr>
          <w:rFonts w:ascii="Verdana" w:eastAsia="Times New Roman" w:hAnsi="Verdana" w:cs="Times New Roman"/>
          <w:sz w:val="20"/>
          <w:szCs w:val="20"/>
          <w:lang w:val="bg-BG" w:eastAsia="ru-RU"/>
        </w:rPr>
      </w:pPr>
      <w:r w:rsidRPr="005475CF">
        <w:rPr>
          <w:rFonts w:ascii="Verdana" w:eastAsia="Times New Roman" w:hAnsi="Verdana" w:cs="Times New Roman"/>
          <w:sz w:val="20"/>
          <w:szCs w:val="20"/>
          <w:lang w:val="bg-BG" w:eastAsia="ru-RU"/>
        </w:rPr>
        <w:t>Като цяло, обемът на доставки на пресни ябълки през 2015 г. възлиза на 467.5 хиляди тона срещу 1284,6 хиляди тона през 2013 г.</w:t>
      </w:r>
    </w:p>
    <w:p w:rsidR="005956DE" w:rsidRDefault="005956DE" w:rsidP="005956DE">
      <w:pPr>
        <w:spacing w:after="0"/>
        <w:ind w:firstLine="708"/>
        <w:jc w:val="both"/>
        <w:rPr>
          <w:rFonts w:ascii="Verdana" w:eastAsia="Times New Roman" w:hAnsi="Verdana" w:cs="Times New Roman"/>
          <w:sz w:val="20"/>
          <w:szCs w:val="20"/>
          <w:lang w:val="bg-BG" w:eastAsia="ru-RU"/>
        </w:rPr>
      </w:pPr>
      <w:r w:rsidRPr="005475CF">
        <w:rPr>
          <w:rFonts w:ascii="Verdana" w:eastAsia="Times New Roman" w:hAnsi="Verdana" w:cs="Times New Roman"/>
          <w:sz w:val="20"/>
          <w:szCs w:val="20"/>
          <w:lang w:val="bg-BG" w:eastAsia="ru-RU"/>
        </w:rPr>
        <w:t>Според резултатите от първите два месеца на 2016 г., сръбската продукция продължава да лидира, като доставки</w:t>
      </w:r>
      <w:r>
        <w:rPr>
          <w:rFonts w:ascii="Verdana" w:eastAsia="Times New Roman" w:hAnsi="Verdana" w:cs="Times New Roman"/>
          <w:sz w:val="20"/>
          <w:szCs w:val="20"/>
          <w:lang w:val="bg-BG" w:eastAsia="ru-RU"/>
        </w:rPr>
        <w:t>те</w:t>
      </w:r>
      <w:r w:rsidRPr="005475CF">
        <w:rPr>
          <w:rFonts w:ascii="Verdana" w:eastAsia="Times New Roman" w:hAnsi="Verdana" w:cs="Times New Roman"/>
          <w:sz w:val="20"/>
          <w:szCs w:val="20"/>
          <w:lang w:val="bg-BG" w:eastAsia="ru-RU"/>
        </w:rPr>
        <w:t xml:space="preserve"> от тази страна са се увеличили спрямо същия период на 2015 г. с 37%. Ръстът на вноса в Русия на китайски продукти възлиза на 60%. Трябва да се отбележи, че през януари-февруари 2016 г. се е увеличил вноса на пресни ябълки от Македония: ако през януари-февруари 2015 г., доставките на продукти от тази страна възлизат на 2,5 хил. тона, то за същия период на 2016 г. достигат 10,4 хиляди тона. Като цяло, от началото на 2016 г., пресни ябълки са били внесени с 27,5% повече, отколкото през същия период на 2015 г.</w:t>
      </w:r>
    </w:p>
    <w:p w:rsidR="005956DE" w:rsidRDefault="005956DE" w:rsidP="005956DE">
      <w:pPr>
        <w:spacing w:after="0"/>
        <w:ind w:firstLine="708"/>
        <w:jc w:val="both"/>
        <w:rPr>
          <w:rFonts w:ascii="Verdana" w:eastAsia="Times New Roman" w:hAnsi="Verdana" w:cs="Times New Roman"/>
          <w:sz w:val="20"/>
          <w:szCs w:val="20"/>
          <w:lang w:val="bg-BG" w:eastAsia="ru-RU"/>
        </w:rPr>
      </w:pPr>
      <w:r w:rsidRPr="00695F06">
        <w:rPr>
          <w:rFonts w:ascii="Verdana" w:eastAsia="Times New Roman" w:hAnsi="Verdana" w:cs="Times New Roman"/>
          <w:sz w:val="20"/>
          <w:szCs w:val="20"/>
          <w:lang w:val="bg-BG" w:eastAsia="ru-RU"/>
        </w:rPr>
        <w:t>Водещи</w:t>
      </w:r>
      <w:r w:rsidRPr="002F3DB6">
        <w:rPr>
          <w:rFonts w:ascii="Verdana" w:eastAsia="Times New Roman" w:hAnsi="Verdana" w:cs="Times New Roman"/>
          <w:sz w:val="20"/>
          <w:szCs w:val="20"/>
          <w:lang w:val="bg-BG" w:eastAsia="ru-RU"/>
        </w:rPr>
        <w:t xml:space="preserve"> </w:t>
      </w:r>
      <w:r>
        <w:rPr>
          <w:rFonts w:ascii="Verdana" w:eastAsia="Times New Roman" w:hAnsi="Verdana" w:cs="Times New Roman"/>
          <w:sz w:val="20"/>
          <w:szCs w:val="20"/>
          <w:lang w:val="bg-BG" w:eastAsia="ru-RU"/>
        </w:rPr>
        <w:t>п</w:t>
      </w:r>
      <w:r w:rsidRPr="002F3DB6">
        <w:rPr>
          <w:rFonts w:ascii="Verdana" w:eastAsia="Times New Roman" w:hAnsi="Verdana" w:cs="Times New Roman"/>
          <w:sz w:val="20"/>
          <w:szCs w:val="20"/>
          <w:lang w:val="bg-BG" w:eastAsia="ru-RU"/>
        </w:rPr>
        <w:t xml:space="preserve">ри вноса на </w:t>
      </w:r>
      <w:r w:rsidRPr="002F3DB6">
        <w:rPr>
          <w:rFonts w:ascii="Verdana" w:eastAsia="Times New Roman" w:hAnsi="Verdana" w:cs="Times New Roman"/>
          <w:b/>
          <w:sz w:val="20"/>
          <w:szCs w:val="20"/>
          <w:lang w:val="bg-BG" w:eastAsia="ru-RU"/>
        </w:rPr>
        <w:t>сушени ябълки</w:t>
      </w:r>
      <w:r w:rsidRPr="002F3DB6">
        <w:rPr>
          <w:rFonts w:ascii="Verdana" w:eastAsia="Times New Roman" w:hAnsi="Verdana" w:cs="Times New Roman"/>
          <w:sz w:val="20"/>
          <w:szCs w:val="20"/>
          <w:lang w:val="bg-BG" w:eastAsia="ru-RU"/>
        </w:rPr>
        <w:t xml:space="preserve">, са китайските продукти. Ако през 2013-2014 г. малки конкуренти на Китай в този сегмент са били Чили, Турция и страните от ЕС, то през 2015г. </w:t>
      </w:r>
    </w:p>
    <w:p w:rsidR="005956DE" w:rsidRDefault="005956DE" w:rsidP="005956DE">
      <w:pPr>
        <w:spacing w:after="0"/>
        <w:jc w:val="both"/>
        <w:rPr>
          <w:rFonts w:ascii="Verdana" w:eastAsia="Times New Roman" w:hAnsi="Verdana" w:cs="Times New Roman"/>
          <w:sz w:val="20"/>
          <w:szCs w:val="20"/>
          <w:lang w:val="bg-BG" w:eastAsia="ru-RU"/>
        </w:rPr>
      </w:pPr>
    </w:p>
    <w:p w:rsidR="005956DE" w:rsidRPr="002F3DB6" w:rsidRDefault="005956DE" w:rsidP="005956DE">
      <w:pPr>
        <w:spacing w:after="0"/>
        <w:jc w:val="both"/>
        <w:rPr>
          <w:rFonts w:ascii="Verdana" w:eastAsia="Times New Roman" w:hAnsi="Verdana" w:cs="Times New Roman"/>
          <w:sz w:val="20"/>
          <w:szCs w:val="20"/>
          <w:lang w:val="bg-BG" w:eastAsia="ru-RU"/>
        </w:rPr>
      </w:pPr>
      <w:r w:rsidRPr="002F3DB6">
        <w:rPr>
          <w:rFonts w:ascii="Verdana" w:eastAsia="Times New Roman" w:hAnsi="Verdana" w:cs="Times New Roman"/>
          <w:sz w:val="20"/>
          <w:szCs w:val="20"/>
          <w:lang w:val="bg-BG" w:eastAsia="ru-RU"/>
        </w:rPr>
        <w:t xml:space="preserve">вноса в този сегмент е почти изцяло представляван от китайски продукти, чиито дял е 355 тона при общ внос 375 тона. И през януари-февруари 2016 година, целият обем от </w:t>
      </w:r>
      <w:r w:rsidRPr="002F3DB6">
        <w:rPr>
          <w:rFonts w:ascii="Verdana" w:eastAsia="Times New Roman" w:hAnsi="Verdana" w:cs="Times New Roman"/>
          <w:sz w:val="20"/>
          <w:szCs w:val="20"/>
          <w:lang w:val="bg-BG" w:eastAsia="ru-RU"/>
        </w:rPr>
        <w:lastRenderedPageBreak/>
        <w:t>вносни сушени ябълки - 78 тона - се извършва от Китай (в сравнение с 12 тона за същия период на 2015 г.).</w:t>
      </w:r>
    </w:p>
    <w:p w:rsidR="005956DE" w:rsidRPr="00E43B29" w:rsidRDefault="005956DE" w:rsidP="005956DE">
      <w:pPr>
        <w:pStyle w:val="a4"/>
        <w:spacing w:line="276" w:lineRule="auto"/>
        <w:ind w:firstLine="708"/>
        <w:jc w:val="both"/>
        <w:rPr>
          <w:rFonts w:ascii="Verdana" w:hAnsi="Verdana"/>
          <w:sz w:val="20"/>
          <w:szCs w:val="20"/>
          <w:lang w:val="bg-BG" w:eastAsia="ru-RU"/>
        </w:rPr>
      </w:pPr>
      <w:r w:rsidRPr="00E43B29">
        <w:rPr>
          <w:rFonts w:ascii="Verdana" w:hAnsi="Verdana"/>
          <w:sz w:val="20"/>
          <w:szCs w:val="20"/>
          <w:lang w:val="bg-BG" w:eastAsia="ru-RU"/>
        </w:rPr>
        <w:t xml:space="preserve">Вносът на </w:t>
      </w:r>
      <w:r w:rsidRPr="00E861F9">
        <w:rPr>
          <w:rFonts w:ascii="Verdana" w:hAnsi="Verdana"/>
          <w:b/>
          <w:sz w:val="20"/>
          <w:szCs w:val="20"/>
          <w:lang w:val="bg-BG" w:eastAsia="ru-RU"/>
        </w:rPr>
        <w:t>пресни банани</w:t>
      </w:r>
      <w:r w:rsidRPr="00E43B29">
        <w:rPr>
          <w:rFonts w:ascii="Verdana" w:hAnsi="Verdana"/>
          <w:sz w:val="20"/>
          <w:szCs w:val="20"/>
          <w:lang w:val="bg-BG" w:eastAsia="ru-RU"/>
        </w:rPr>
        <w:t xml:space="preserve"> за Русия през 2015 г. е достигнал 1,2 мил.т., което е 3,7% по-малко в сравнение с 2014 г. , но през първите два месеца на 2016 г. се наблюдава ръст в дадения сегмент с 45,7%. Безспорен лидер в областта на вноса на банани в Русия е Еквадор - неговият дял през 2015 г. е бил 98,6%. Основният обем от доставките на банани се закупуват от  Санкт Петербург (37,2% в реално изражение), Краснодар</w:t>
      </w:r>
      <w:r>
        <w:rPr>
          <w:rFonts w:ascii="Verdana" w:hAnsi="Verdana"/>
          <w:sz w:val="20"/>
          <w:szCs w:val="20"/>
          <w:lang w:val="bg-BG" w:eastAsia="ru-RU"/>
        </w:rPr>
        <w:t>ски край</w:t>
      </w:r>
      <w:r w:rsidRPr="00E43B29">
        <w:rPr>
          <w:rFonts w:ascii="Verdana" w:hAnsi="Verdana"/>
          <w:sz w:val="20"/>
          <w:szCs w:val="20"/>
          <w:lang w:val="bg-BG" w:eastAsia="ru-RU"/>
        </w:rPr>
        <w:t xml:space="preserve"> (21,8%), Москва (20.5%) и Московска област (10.2%). </w:t>
      </w:r>
      <w:r>
        <w:rPr>
          <w:rFonts w:ascii="Verdana" w:hAnsi="Verdana"/>
          <w:sz w:val="20"/>
          <w:szCs w:val="20"/>
          <w:lang w:val="bg-BG" w:eastAsia="ru-RU"/>
        </w:rPr>
        <w:t>В</w:t>
      </w:r>
      <w:r w:rsidRPr="00E43B29">
        <w:rPr>
          <w:rFonts w:ascii="Verdana" w:hAnsi="Verdana"/>
          <w:sz w:val="20"/>
          <w:szCs w:val="20"/>
          <w:lang w:val="bg-BG" w:eastAsia="ru-RU"/>
        </w:rPr>
        <w:t xml:space="preserve"> Санкт Петербург, за първите два месеца на 2016 г., са внесени 2</w:t>
      </w:r>
      <w:r>
        <w:rPr>
          <w:rFonts w:ascii="Verdana" w:hAnsi="Verdana"/>
          <w:sz w:val="20"/>
          <w:szCs w:val="20"/>
          <w:lang w:val="bg-BG" w:eastAsia="ru-RU"/>
        </w:rPr>
        <w:t>,</w:t>
      </w:r>
      <w:r w:rsidRPr="00E43B29">
        <w:rPr>
          <w:rFonts w:ascii="Verdana" w:hAnsi="Verdana"/>
          <w:sz w:val="20"/>
          <w:szCs w:val="20"/>
          <w:lang w:val="bg-BG" w:eastAsia="ru-RU"/>
        </w:rPr>
        <w:t xml:space="preserve">1 пъти повече банани, отколкото за същия период </w:t>
      </w:r>
      <w:r>
        <w:rPr>
          <w:rFonts w:ascii="Verdana" w:hAnsi="Verdana"/>
          <w:sz w:val="20"/>
          <w:szCs w:val="20"/>
          <w:lang w:val="bg-BG" w:eastAsia="ru-RU"/>
        </w:rPr>
        <w:t>на</w:t>
      </w:r>
      <w:r w:rsidRPr="00E43B29">
        <w:rPr>
          <w:rFonts w:ascii="Verdana" w:hAnsi="Verdana"/>
          <w:sz w:val="20"/>
          <w:szCs w:val="20"/>
          <w:lang w:val="bg-BG" w:eastAsia="ru-RU"/>
        </w:rPr>
        <w:t xml:space="preserve"> 2015 г..</w:t>
      </w:r>
    </w:p>
    <w:p w:rsidR="005956DE" w:rsidRDefault="005956DE" w:rsidP="005956DE">
      <w:pPr>
        <w:pStyle w:val="a4"/>
        <w:spacing w:line="276" w:lineRule="auto"/>
        <w:ind w:firstLine="708"/>
        <w:jc w:val="both"/>
        <w:rPr>
          <w:rFonts w:ascii="Verdana" w:hAnsi="Verdana"/>
          <w:sz w:val="20"/>
          <w:szCs w:val="20"/>
          <w:lang w:val="bg-BG" w:eastAsia="ru-RU"/>
        </w:rPr>
      </w:pPr>
      <w:r w:rsidRPr="00E43B29">
        <w:rPr>
          <w:rFonts w:ascii="Verdana" w:hAnsi="Verdana"/>
          <w:sz w:val="20"/>
          <w:szCs w:val="20"/>
          <w:lang w:val="bg-BG" w:eastAsia="ru-RU"/>
        </w:rPr>
        <w:t xml:space="preserve">През 2015 г., са били внесени </w:t>
      </w:r>
      <w:r w:rsidRPr="00E861F9">
        <w:rPr>
          <w:rFonts w:ascii="Verdana" w:hAnsi="Verdana"/>
          <w:b/>
          <w:sz w:val="20"/>
          <w:szCs w:val="20"/>
          <w:lang w:val="bg-BG" w:eastAsia="ru-RU"/>
        </w:rPr>
        <w:t>сушени банани</w:t>
      </w:r>
      <w:r w:rsidRPr="00E43B29">
        <w:rPr>
          <w:rFonts w:ascii="Verdana" w:hAnsi="Verdana"/>
          <w:sz w:val="20"/>
          <w:szCs w:val="20"/>
          <w:lang w:val="bg-BG" w:eastAsia="ru-RU"/>
        </w:rPr>
        <w:t xml:space="preserve"> 394 тона, което е 47,8% по-малко в сравнение с 2014 г.  В този сегмент безспорен лидер е Виетнам, като през 2015 г. неговият дял е достигнал 98,2% от вноса в реално изражение. През януари и февруари на 2016 г., вносът на сушени банани в страната е намалял с 14%.</w:t>
      </w:r>
    </w:p>
    <w:p w:rsidR="005956DE" w:rsidRDefault="005956DE" w:rsidP="005956DE">
      <w:pPr>
        <w:pStyle w:val="a4"/>
        <w:spacing w:line="276" w:lineRule="auto"/>
        <w:ind w:firstLine="708"/>
        <w:jc w:val="both"/>
        <w:rPr>
          <w:rFonts w:ascii="Verdana" w:hAnsi="Verdana"/>
          <w:sz w:val="20"/>
          <w:szCs w:val="20"/>
          <w:lang w:val="bg-BG" w:eastAsia="ru-RU"/>
        </w:rPr>
      </w:pPr>
      <w:r w:rsidRPr="00DC54C0">
        <w:rPr>
          <w:rFonts w:ascii="Verdana" w:hAnsi="Verdana"/>
          <w:sz w:val="20"/>
          <w:szCs w:val="20"/>
          <w:lang w:val="bg-BG" w:eastAsia="ru-RU"/>
        </w:rPr>
        <w:t>Ако в сегмента на пресните плодове по обеми, водеща роля при вноса заемат бананите и ябълките, то в сегмента на сушените плодове, на</w:t>
      </w:r>
      <w:r>
        <w:rPr>
          <w:rFonts w:ascii="Verdana" w:hAnsi="Verdana"/>
          <w:sz w:val="20"/>
          <w:szCs w:val="20"/>
          <w:lang w:val="bg-BG" w:eastAsia="ru-RU"/>
        </w:rPr>
        <w:t xml:space="preserve"> първо място</w:t>
      </w:r>
      <w:r w:rsidRPr="00DC54C0">
        <w:rPr>
          <w:rFonts w:ascii="Verdana" w:hAnsi="Verdana"/>
          <w:sz w:val="20"/>
          <w:szCs w:val="20"/>
          <w:lang w:val="bg-BG" w:eastAsia="ru-RU"/>
        </w:rPr>
        <w:t xml:space="preserve"> </w:t>
      </w:r>
      <w:r>
        <w:rPr>
          <w:rFonts w:ascii="Verdana" w:hAnsi="Verdana"/>
          <w:sz w:val="20"/>
          <w:szCs w:val="20"/>
          <w:lang w:val="bg-BG" w:eastAsia="ru-RU"/>
        </w:rPr>
        <w:t xml:space="preserve">по </w:t>
      </w:r>
      <w:r w:rsidRPr="00DC54C0">
        <w:rPr>
          <w:rFonts w:ascii="Verdana" w:hAnsi="Verdana"/>
          <w:sz w:val="20"/>
          <w:szCs w:val="20"/>
          <w:lang w:val="bg-BG" w:eastAsia="ru-RU"/>
        </w:rPr>
        <w:t>доставки</w:t>
      </w:r>
      <w:r>
        <w:rPr>
          <w:rFonts w:ascii="Verdana" w:hAnsi="Verdana"/>
          <w:sz w:val="20"/>
          <w:szCs w:val="20"/>
          <w:lang w:val="bg-BG" w:eastAsia="ru-RU"/>
        </w:rPr>
        <w:t xml:space="preserve"> са: </w:t>
      </w:r>
      <w:r w:rsidRPr="00DC54C0">
        <w:rPr>
          <w:rFonts w:ascii="Verdana" w:hAnsi="Verdana"/>
          <w:sz w:val="20"/>
          <w:szCs w:val="20"/>
          <w:lang w:val="bg-BG" w:eastAsia="ru-RU"/>
        </w:rPr>
        <w:t>стафиди, сливи, фурми и кайсии.</w:t>
      </w: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spacing w:line="276" w:lineRule="auto"/>
        <w:rPr>
          <w:rFonts w:ascii="Verdana" w:hAnsi="Verdana"/>
          <w:b/>
          <w:sz w:val="18"/>
          <w:szCs w:val="18"/>
          <w:lang w:val="bg-BG" w:eastAsia="ru-RU"/>
        </w:rPr>
      </w:pPr>
      <w:r w:rsidRPr="00D50676">
        <w:rPr>
          <w:rFonts w:ascii="Verdana" w:hAnsi="Verdana"/>
          <w:b/>
          <w:sz w:val="18"/>
          <w:szCs w:val="18"/>
          <w:lang w:val="bg-BG" w:eastAsia="ru-RU"/>
        </w:rPr>
        <w:t>Структура на вноса на стафиди по страни</w:t>
      </w:r>
    </w:p>
    <w:p w:rsidR="005956DE" w:rsidRDefault="005956DE" w:rsidP="005956DE">
      <w:pPr>
        <w:pStyle w:val="a4"/>
        <w:spacing w:line="276" w:lineRule="auto"/>
        <w:rPr>
          <w:rFonts w:ascii="Verdana" w:hAnsi="Verdana"/>
          <w:b/>
          <w:sz w:val="18"/>
          <w:szCs w:val="18"/>
          <w:lang w:val="bg-BG" w:eastAsia="ru-RU"/>
        </w:rPr>
      </w:pPr>
      <w:r w:rsidRPr="00D50676">
        <w:rPr>
          <w:rFonts w:ascii="Verdana" w:hAnsi="Verdana"/>
          <w:b/>
          <w:sz w:val="18"/>
          <w:szCs w:val="18"/>
          <w:lang w:val="bg-BG" w:eastAsia="ru-RU"/>
        </w:rPr>
        <w:t>за 2015 г. в реално изражение, %</w:t>
      </w:r>
    </w:p>
    <w:p w:rsidR="005956DE" w:rsidRPr="00C90304" w:rsidRDefault="005956DE" w:rsidP="005956DE">
      <w:pPr>
        <w:pStyle w:val="a4"/>
        <w:spacing w:line="276" w:lineRule="auto"/>
        <w:ind w:firstLine="708"/>
        <w:jc w:val="both"/>
        <w:rPr>
          <w:rFonts w:ascii="Verdana" w:hAnsi="Verdana"/>
          <w:sz w:val="20"/>
          <w:szCs w:val="20"/>
          <w:lang w:val="bg-BG" w:eastAsia="ru-RU"/>
        </w:rPr>
      </w:pPr>
      <w:r w:rsidRPr="00C90304">
        <w:rPr>
          <w:rFonts w:ascii="Verdana" w:eastAsia="Times New Roman" w:hAnsi="Verdana" w:cs="Times New Roman"/>
          <w:noProof/>
          <w:color w:val="000000"/>
          <w:sz w:val="20"/>
          <w:szCs w:val="20"/>
          <w:lang w:eastAsia="ru-RU"/>
        </w:rPr>
        <w:drawing>
          <wp:anchor distT="0" distB="0" distL="114300" distR="114300" simplePos="0" relativeHeight="251662336" behindDoc="0" locked="0" layoutInCell="1" allowOverlap="1" wp14:anchorId="5F53CDA1" wp14:editId="2D0471AE">
            <wp:simplePos x="0" y="0"/>
            <wp:positionH relativeFrom="column">
              <wp:posOffset>-635</wp:posOffset>
            </wp:positionH>
            <wp:positionV relativeFrom="paragraph">
              <wp:posOffset>635</wp:posOffset>
            </wp:positionV>
            <wp:extent cx="2250440" cy="2192020"/>
            <wp:effectExtent l="0" t="0" r="0" b="0"/>
            <wp:wrapSquare wrapText="bothSides"/>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C90304">
        <w:rPr>
          <w:rFonts w:ascii="Verdana" w:hAnsi="Verdana"/>
          <w:sz w:val="20"/>
          <w:szCs w:val="20"/>
          <w:lang w:val="bg-BG" w:eastAsia="ru-RU"/>
        </w:rPr>
        <w:t>Внос</w:t>
      </w:r>
      <w:r>
        <w:rPr>
          <w:rFonts w:ascii="Verdana" w:hAnsi="Verdana"/>
          <w:sz w:val="20"/>
          <w:szCs w:val="20"/>
          <w:lang w:val="bg-BG" w:eastAsia="ru-RU"/>
        </w:rPr>
        <w:t>ът</w:t>
      </w:r>
      <w:r w:rsidRPr="00C90304">
        <w:rPr>
          <w:rFonts w:ascii="Verdana" w:hAnsi="Verdana"/>
          <w:sz w:val="20"/>
          <w:szCs w:val="20"/>
          <w:lang w:val="bg-BG" w:eastAsia="ru-RU"/>
        </w:rPr>
        <w:t xml:space="preserve"> на </w:t>
      </w:r>
      <w:r w:rsidRPr="00891FC7">
        <w:rPr>
          <w:rFonts w:ascii="Verdana" w:hAnsi="Verdana"/>
          <w:b/>
          <w:sz w:val="20"/>
          <w:szCs w:val="20"/>
          <w:lang w:val="bg-BG" w:eastAsia="ru-RU"/>
        </w:rPr>
        <w:t>стафиди</w:t>
      </w:r>
      <w:r w:rsidRPr="00C90304">
        <w:rPr>
          <w:rFonts w:ascii="Verdana" w:hAnsi="Verdana"/>
          <w:sz w:val="20"/>
          <w:szCs w:val="20"/>
          <w:lang w:val="bg-BG" w:eastAsia="ru-RU"/>
        </w:rPr>
        <w:t xml:space="preserve"> в страната през 2015 г. е бил в размер на 20,6 хиляди тона. През последните три години - от 2013 г. до 2015 г. - внос</w:t>
      </w:r>
      <w:r>
        <w:rPr>
          <w:rFonts w:ascii="Verdana" w:hAnsi="Verdana"/>
          <w:sz w:val="20"/>
          <w:szCs w:val="20"/>
          <w:lang w:val="bg-BG" w:eastAsia="ru-RU"/>
        </w:rPr>
        <w:t>ът</w:t>
      </w:r>
      <w:r w:rsidRPr="00C90304">
        <w:rPr>
          <w:rFonts w:ascii="Verdana" w:hAnsi="Verdana"/>
          <w:sz w:val="20"/>
          <w:szCs w:val="20"/>
          <w:lang w:val="bg-BG" w:eastAsia="ru-RU"/>
        </w:rPr>
        <w:t xml:space="preserve"> на продукти в този сегмент е намалял с 2 пъти, но в началото на тази година се е увеличил с 18</w:t>
      </w:r>
      <w:r>
        <w:rPr>
          <w:rFonts w:ascii="Verdana" w:hAnsi="Verdana"/>
          <w:sz w:val="20"/>
          <w:szCs w:val="20"/>
          <w:lang w:val="bg-BG" w:eastAsia="ru-RU"/>
        </w:rPr>
        <w:t>,</w:t>
      </w:r>
      <w:r w:rsidRPr="00C90304">
        <w:rPr>
          <w:rFonts w:ascii="Verdana" w:hAnsi="Verdana"/>
          <w:sz w:val="20"/>
          <w:szCs w:val="20"/>
          <w:lang w:val="bg-BG" w:eastAsia="ru-RU"/>
        </w:rPr>
        <w:t>2% в сравнение с януари-февруари 2015 г.</w:t>
      </w:r>
    </w:p>
    <w:p w:rsidR="005956DE" w:rsidRDefault="005956DE" w:rsidP="005956DE">
      <w:pPr>
        <w:pStyle w:val="a4"/>
        <w:spacing w:line="276" w:lineRule="auto"/>
        <w:ind w:firstLine="708"/>
        <w:jc w:val="both"/>
        <w:rPr>
          <w:rFonts w:ascii="Verdana" w:hAnsi="Verdana"/>
          <w:sz w:val="20"/>
          <w:szCs w:val="20"/>
          <w:lang w:val="bg-BG" w:eastAsia="ru-RU"/>
        </w:rPr>
      </w:pPr>
      <w:r w:rsidRPr="00C90304">
        <w:rPr>
          <w:rFonts w:ascii="Verdana" w:hAnsi="Verdana"/>
          <w:sz w:val="20"/>
          <w:szCs w:val="20"/>
          <w:lang w:val="bg-BG" w:eastAsia="ru-RU"/>
        </w:rPr>
        <w:t>Според резултатите от 2015 г., най-големият доставчик на стафиди в Русия е бил Афганистан, ко</w:t>
      </w:r>
      <w:r>
        <w:rPr>
          <w:rFonts w:ascii="Verdana" w:hAnsi="Verdana"/>
          <w:sz w:val="20"/>
          <w:szCs w:val="20"/>
          <w:lang w:val="bg-BG" w:eastAsia="ru-RU"/>
        </w:rPr>
        <w:t>й</w:t>
      </w:r>
      <w:r w:rsidRPr="00C90304">
        <w:rPr>
          <w:rFonts w:ascii="Verdana" w:hAnsi="Verdana"/>
          <w:sz w:val="20"/>
          <w:szCs w:val="20"/>
          <w:lang w:val="bg-BG" w:eastAsia="ru-RU"/>
        </w:rPr>
        <w:t>то е заемал 40,2% от вноса в реално изражение.</w:t>
      </w:r>
    </w:p>
    <w:p w:rsidR="005956DE" w:rsidRDefault="005956DE" w:rsidP="005956DE">
      <w:pPr>
        <w:pStyle w:val="a4"/>
        <w:spacing w:line="276" w:lineRule="auto"/>
        <w:ind w:firstLine="708"/>
        <w:jc w:val="both"/>
        <w:rPr>
          <w:rFonts w:ascii="Verdana" w:hAnsi="Verdana"/>
          <w:sz w:val="20"/>
          <w:szCs w:val="20"/>
          <w:lang w:val="bg-BG" w:eastAsia="ru-RU"/>
        </w:rPr>
      </w:pPr>
      <w:r w:rsidRPr="00891FC7">
        <w:rPr>
          <w:rFonts w:ascii="Verdana" w:hAnsi="Verdana"/>
          <w:sz w:val="20"/>
          <w:szCs w:val="20"/>
          <w:lang w:val="bg-BG" w:eastAsia="ru-RU"/>
        </w:rPr>
        <w:t>Заслужава да се отбележи, че през 2013 г. водеща роля в доставките е имал Иран, но към 2015 г. вносът на стафиди от тази страна е намалял с 2,7 пъти.</w:t>
      </w: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spacing w:line="276" w:lineRule="auto"/>
        <w:ind w:firstLine="708"/>
        <w:jc w:val="both"/>
        <w:rPr>
          <w:rFonts w:ascii="Verdana" w:hAnsi="Verdana"/>
          <w:sz w:val="20"/>
          <w:szCs w:val="20"/>
          <w:lang w:val="bg-BG" w:eastAsia="ru-RU"/>
        </w:rPr>
      </w:pPr>
    </w:p>
    <w:p w:rsidR="005956DE" w:rsidRPr="00891FC7" w:rsidRDefault="005956DE" w:rsidP="005956DE">
      <w:pPr>
        <w:pStyle w:val="a4"/>
        <w:spacing w:line="276" w:lineRule="auto"/>
        <w:rPr>
          <w:rFonts w:ascii="Verdana" w:hAnsi="Verdana"/>
          <w:b/>
          <w:i/>
          <w:sz w:val="18"/>
          <w:szCs w:val="18"/>
          <w:lang w:val="bg-BG" w:eastAsia="ru-RU"/>
        </w:rPr>
      </w:pPr>
      <w:r w:rsidRPr="00891FC7">
        <w:rPr>
          <w:rFonts w:ascii="Verdana" w:hAnsi="Verdana"/>
          <w:b/>
          <w:i/>
          <w:sz w:val="18"/>
          <w:szCs w:val="18"/>
          <w:lang w:val="bg-BG" w:eastAsia="ru-RU"/>
        </w:rPr>
        <w:t>Структура на вноса на сушени сини сливи по страни</w:t>
      </w:r>
    </w:p>
    <w:p w:rsidR="005956DE" w:rsidRDefault="005956DE" w:rsidP="005956DE">
      <w:pPr>
        <w:pStyle w:val="a4"/>
        <w:spacing w:line="276" w:lineRule="auto"/>
        <w:rPr>
          <w:rFonts w:ascii="Verdana" w:hAnsi="Verdana"/>
          <w:b/>
          <w:i/>
          <w:sz w:val="18"/>
          <w:szCs w:val="18"/>
          <w:lang w:val="bg-BG" w:eastAsia="ru-RU"/>
        </w:rPr>
      </w:pPr>
      <w:r w:rsidRPr="00891FC7">
        <w:rPr>
          <w:rFonts w:ascii="Verdana" w:hAnsi="Verdana"/>
          <w:b/>
          <w:i/>
          <w:sz w:val="18"/>
          <w:szCs w:val="18"/>
          <w:lang w:val="bg-BG" w:eastAsia="ru-RU"/>
        </w:rPr>
        <w:t>за 2015 г. в реално изражение, %</w:t>
      </w:r>
    </w:p>
    <w:p w:rsidR="005956DE" w:rsidRPr="00891FC7" w:rsidRDefault="005956DE" w:rsidP="005956DE">
      <w:pPr>
        <w:pStyle w:val="a4"/>
        <w:spacing w:line="276" w:lineRule="auto"/>
        <w:rPr>
          <w:rFonts w:ascii="Verdana" w:hAnsi="Verdana"/>
          <w:b/>
          <w:i/>
          <w:sz w:val="18"/>
          <w:szCs w:val="18"/>
          <w:lang w:val="bg-BG" w:eastAsia="ru-RU"/>
        </w:rPr>
      </w:pPr>
      <w:r w:rsidRPr="00BB4DC7">
        <w:rPr>
          <w:rFonts w:ascii="Verdana" w:eastAsia="Times New Roman" w:hAnsi="Verdana" w:cs="Times New Roman"/>
          <w:noProof/>
          <w:color w:val="000000"/>
          <w:sz w:val="20"/>
          <w:szCs w:val="20"/>
          <w:lang w:eastAsia="ru-RU"/>
        </w:rPr>
        <w:drawing>
          <wp:anchor distT="0" distB="0" distL="114300" distR="114300" simplePos="0" relativeHeight="251663360" behindDoc="0" locked="0" layoutInCell="1" allowOverlap="1" wp14:anchorId="1E89F209" wp14:editId="2D17043C">
            <wp:simplePos x="0" y="0"/>
            <wp:positionH relativeFrom="column">
              <wp:posOffset>-635</wp:posOffset>
            </wp:positionH>
            <wp:positionV relativeFrom="paragraph">
              <wp:posOffset>129540</wp:posOffset>
            </wp:positionV>
            <wp:extent cx="2114550" cy="1962150"/>
            <wp:effectExtent l="0" t="0" r="0" b="0"/>
            <wp:wrapSquare wrapText="bothSides"/>
            <wp:docPr id="673" name="Диаграмма 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956DE" w:rsidRPr="00BB4DC7" w:rsidRDefault="005956DE" w:rsidP="005956DE">
      <w:pPr>
        <w:pStyle w:val="a4"/>
        <w:spacing w:line="276" w:lineRule="auto"/>
        <w:ind w:firstLine="708"/>
        <w:jc w:val="both"/>
        <w:rPr>
          <w:rFonts w:ascii="Verdana" w:hAnsi="Verdana"/>
          <w:sz w:val="20"/>
          <w:szCs w:val="20"/>
          <w:lang w:val="bg-BG" w:eastAsia="ru-RU"/>
        </w:rPr>
      </w:pPr>
      <w:r w:rsidRPr="00BB4DC7">
        <w:rPr>
          <w:rFonts w:ascii="Verdana" w:hAnsi="Verdana"/>
          <w:sz w:val="20"/>
          <w:szCs w:val="20"/>
          <w:lang w:val="bg-BG" w:eastAsia="ru-RU"/>
        </w:rPr>
        <w:t xml:space="preserve">Вносът на </w:t>
      </w:r>
      <w:r w:rsidRPr="00BB4DC7">
        <w:rPr>
          <w:rFonts w:ascii="Verdana" w:hAnsi="Verdana"/>
          <w:b/>
          <w:sz w:val="20"/>
          <w:szCs w:val="20"/>
          <w:lang w:val="bg-BG" w:eastAsia="ru-RU"/>
        </w:rPr>
        <w:t>сушени сини сливи</w:t>
      </w:r>
      <w:r w:rsidRPr="00BB4DC7">
        <w:rPr>
          <w:rFonts w:ascii="Verdana" w:hAnsi="Verdana"/>
          <w:sz w:val="20"/>
          <w:szCs w:val="20"/>
          <w:lang w:val="bg-BG" w:eastAsia="ru-RU"/>
        </w:rPr>
        <w:t xml:space="preserve"> в Русия, също значително е намалял през последните три години. През 2013 г. обемът е достигал до 32 хиляди тона, а през 2015 г. - само 12,8 хиляди тона. Причини за намаляването на предлагането са освен въведените санкции срещу Съединените щати, които през 2013 г. са заемали трета позиция в този сегмент - с дял 13,8%, така и намаляването на вноса от водещите страни доставчици - Аржентина и Чили. По този начин, доставките от Аржентина в течение на три години са намалели с 2,5 пъти, а от Чили - с 2,3 пъти.</w:t>
      </w:r>
    </w:p>
    <w:p w:rsidR="005956DE" w:rsidRDefault="005956DE" w:rsidP="005956DE">
      <w:pPr>
        <w:pStyle w:val="a4"/>
        <w:spacing w:line="276" w:lineRule="auto"/>
        <w:ind w:firstLine="708"/>
        <w:jc w:val="both"/>
        <w:rPr>
          <w:rFonts w:ascii="Verdana" w:hAnsi="Verdana"/>
          <w:sz w:val="20"/>
          <w:szCs w:val="20"/>
          <w:lang w:val="bg-BG" w:eastAsia="ru-RU"/>
        </w:rPr>
      </w:pPr>
      <w:r w:rsidRPr="00BB4DC7">
        <w:rPr>
          <w:rFonts w:ascii="Verdana" w:hAnsi="Verdana"/>
          <w:sz w:val="20"/>
          <w:szCs w:val="20"/>
          <w:lang w:val="bg-BG" w:eastAsia="ru-RU"/>
        </w:rPr>
        <w:t>Според резултатите на 2015 г., сред водещите доставчици на сушени сини сливи в Русия са също Сърбия и Молдова, заели съответно трето и четвърто място.</w:t>
      </w:r>
    </w:p>
    <w:p w:rsidR="005956DE" w:rsidRDefault="005956DE" w:rsidP="005956DE">
      <w:pPr>
        <w:pStyle w:val="a4"/>
        <w:spacing w:line="276" w:lineRule="auto"/>
        <w:ind w:firstLine="708"/>
        <w:jc w:val="both"/>
        <w:rPr>
          <w:rFonts w:ascii="Verdana" w:hAnsi="Verdana"/>
          <w:sz w:val="20"/>
          <w:szCs w:val="20"/>
          <w:lang w:val="bg-BG" w:eastAsia="ru-RU"/>
        </w:rPr>
      </w:pPr>
      <w:r w:rsidRPr="00984498">
        <w:rPr>
          <w:rFonts w:ascii="Verdana" w:hAnsi="Verdana"/>
          <w:sz w:val="20"/>
          <w:szCs w:val="20"/>
          <w:lang w:val="bg-BG" w:eastAsia="ru-RU"/>
        </w:rPr>
        <w:lastRenderedPageBreak/>
        <w:t xml:space="preserve">Доставките на сръбски продукти през последните три години също са намалели – </w:t>
      </w:r>
    </w:p>
    <w:p w:rsidR="005956DE" w:rsidRDefault="005956DE" w:rsidP="005956DE">
      <w:pPr>
        <w:pStyle w:val="a4"/>
        <w:spacing w:line="276" w:lineRule="auto"/>
        <w:jc w:val="both"/>
        <w:rPr>
          <w:rFonts w:ascii="Verdana" w:hAnsi="Verdana"/>
          <w:sz w:val="20"/>
          <w:szCs w:val="20"/>
          <w:lang w:val="bg-BG" w:eastAsia="ru-RU"/>
        </w:rPr>
      </w:pPr>
    </w:p>
    <w:p w:rsidR="005956DE" w:rsidRPr="00984498" w:rsidRDefault="005956DE" w:rsidP="005956DE">
      <w:pPr>
        <w:pStyle w:val="a4"/>
        <w:spacing w:line="276" w:lineRule="auto"/>
        <w:jc w:val="both"/>
        <w:rPr>
          <w:rFonts w:ascii="Verdana" w:hAnsi="Verdana"/>
          <w:sz w:val="20"/>
          <w:szCs w:val="20"/>
          <w:lang w:val="bg-BG" w:eastAsia="ru-RU"/>
        </w:rPr>
      </w:pPr>
      <w:r w:rsidRPr="00984498">
        <w:rPr>
          <w:rFonts w:ascii="Verdana" w:hAnsi="Verdana"/>
          <w:sz w:val="20"/>
          <w:szCs w:val="20"/>
          <w:lang w:val="bg-BG" w:eastAsia="ru-RU"/>
        </w:rPr>
        <w:t>наблюдава се спад от 2,6 пъти. Единствената положителна тенденция на растеж се наблюдава  при вноса на молдавски сини сливи - от 1,2 хиляди тона през 2013 г. до 2,4 тона през 2015 г.</w:t>
      </w:r>
    </w:p>
    <w:p w:rsidR="005956DE" w:rsidRDefault="005956DE" w:rsidP="005956DE">
      <w:pPr>
        <w:pStyle w:val="a4"/>
        <w:spacing w:line="276" w:lineRule="auto"/>
        <w:ind w:firstLine="708"/>
        <w:jc w:val="both"/>
        <w:rPr>
          <w:rFonts w:ascii="Verdana" w:hAnsi="Verdana"/>
          <w:sz w:val="20"/>
          <w:szCs w:val="20"/>
          <w:lang w:val="bg-BG" w:eastAsia="ru-RU"/>
        </w:rPr>
      </w:pPr>
      <w:r w:rsidRPr="00984498">
        <w:rPr>
          <w:rFonts w:ascii="Verdana" w:hAnsi="Verdana"/>
          <w:sz w:val="20"/>
          <w:szCs w:val="20"/>
          <w:lang w:val="bg-BG" w:eastAsia="ru-RU"/>
        </w:rPr>
        <w:t>През януари-февруари 2016 г., в сравнение със същия период на 2015 г., вносът на сушени сини сливи в Русия е нараснал с 21,5%, благодарение на доставките от Аржентина, които са се увеличили с 5,3 пъти - от 195 до 1034 тона.</w:t>
      </w: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ind w:firstLine="708"/>
        <w:jc w:val="both"/>
        <w:rPr>
          <w:rFonts w:ascii="Verdana" w:hAnsi="Verdana"/>
          <w:sz w:val="20"/>
          <w:szCs w:val="20"/>
          <w:lang w:val="bg-BG" w:eastAsia="ru-RU"/>
        </w:rPr>
      </w:pPr>
    </w:p>
    <w:p w:rsidR="005956DE" w:rsidRDefault="005956DE" w:rsidP="005956DE">
      <w:pPr>
        <w:pStyle w:val="a4"/>
        <w:spacing w:line="276" w:lineRule="auto"/>
        <w:rPr>
          <w:rFonts w:ascii="Verdana" w:hAnsi="Verdana"/>
          <w:b/>
          <w:i/>
          <w:sz w:val="18"/>
          <w:szCs w:val="18"/>
          <w:lang w:val="bg-BG" w:eastAsia="ru-RU"/>
        </w:rPr>
      </w:pPr>
      <w:r w:rsidRPr="00984498">
        <w:rPr>
          <w:rFonts w:ascii="Verdana" w:hAnsi="Verdana"/>
          <w:b/>
          <w:i/>
          <w:sz w:val="18"/>
          <w:szCs w:val="18"/>
          <w:lang w:val="bg-BG" w:eastAsia="ru-RU"/>
        </w:rPr>
        <w:t>Структура на вноса на фурми по страни</w:t>
      </w:r>
    </w:p>
    <w:p w:rsidR="005956DE" w:rsidRDefault="005956DE" w:rsidP="005956DE">
      <w:pPr>
        <w:pStyle w:val="a4"/>
        <w:spacing w:line="276" w:lineRule="auto"/>
        <w:rPr>
          <w:rFonts w:ascii="Verdana" w:hAnsi="Verdana"/>
          <w:b/>
          <w:i/>
          <w:sz w:val="18"/>
          <w:szCs w:val="18"/>
          <w:lang w:val="bg-BG" w:eastAsia="ru-RU"/>
        </w:rPr>
      </w:pPr>
      <w:r w:rsidRPr="00984498">
        <w:rPr>
          <w:rFonts w:ascii="Verdana" w:hAnsi="Verdana"/>
          <w:b/>
          <w:i/>
          <w:sz w:val="18"/>
          <w:szCs w:val="18"/>
          <w:lang w:val="bg-BG" w:eastAsia="ru-RU"/>
        </w:rPr>
        <w:t>за 2015 г. в реално изражение, %</w:t>
      </w:r>
    </w:p>
    <w:p w:rsidR="005956DE" w:rsidRPr="00984498" w:rsidRDefault="005956DE" w:rsidP="005956DE">
      <w:pPr>
        <w:pStyle w:val="a4"/>
        <w:spacing w:line="276" w:lineRule="auto"/>
        <w:rPr>
          <w:rFonts w:ascii="Verdana" w:hAnsi="Verdana"/>
          <w:b/>
          <w:i/>
          <w:sz w:val="18"/>
          <w:szCs w:val="18"/>
          <w:lang w:val="bg-BG" w:eastAsia="ru-RU"/>
        </w:rPr>
      </w:pPr>
    </w:p>
    <w:p w:rsidR="005956DE" w:rsidRPr="00984498" w:rsidRDefault="005956DE" w:rsidP="005956DE">
      <w:pPr>
        <w:pStyle w:val="a4"/>
        <w:spacing w:line="276" w:lineRule="auto"/>
        <w:ind w:firstLine="708"/>
        <w:jc w:val="both"/>
        <w:rPr>
          <w:rFonts w:ascii="Verdana" w:hAnsi="Verdana"/>
          <w:sz w:val="20"/>
          <w:szCs w:val="20"/>
          <w:lang w:val="bg-BG" w:eastAsia="ru-RU"/>
        </w:rPr>
      </w:pPr>
      <w:r w:rsidRPr="00984498">
        <w:rPr>
          <w:rFonts w:ascii="Verdana" w:eastAsia="Times New Roman" w:hAnsi="Verdana" w:cs="Times New Roman"/>
          <w:noProof/>
          <w:color w:val="000000"/>
          <w:sz w:val="20"/>
          <w:szCs w:val="20"/>
          <w:lang w:eastAsia="ru-RU"/>
        </w:rPr>
        <w:drawing>
          <wp:anchor distT="0" distB="0" distL="114300" distR="114300" simplePos="0" relativeHeight="251664384" behindDoc="0" locked="0" layoutInCell="1" allowOverlap="1" wp14:anchorId="670A37C7" wp14:editId="0E0AC029">
            <wp:simplePos x="0" y="0"/>
            <wp:positionH relativeFrom="column">
              <wp:posOffset>-635</wp:posOffset>
            </wp:positionH>
            <wp:positionV relativeFrom="paragraph">
              <wp:posOffset>45085</wp:posOffset>
            </wp:positionV>
            <wp:extent cx="1816735" cy="2350135"/>
            <wp:effectExtent l="0" t="0" r="0" b="0"/>
            <wp:wrapSquare wrapText="bothSides"/>
            <wp:docPr id="677" name="Диаграмма 6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984498">
        <w:rPr>
          <w:rFonts w:ascii="Verdana" w:hAnsi="Verdana"/>
          <w:sz w:val="20"/>
          <w:szCs w:val="20"/>
          <w:lang w:val="bg-BG" w:eastAsia="ru-RU"/>
        </w:rPr>
        <w:t xml:space="preserve">Вносът на </w:t>
      </w:r>
      <w:r w:rsidRPr="00984498">
        <w:rPr>
          <w:rFonts w:ascii="Verdana" w:hAnsi="Verdana"/>
          <w:b/>
          <w:sz w:val="20"/>
          <w:szCs w:val="20"/>
          <w:lang w:val="bg-BG" w:eastAsia="ru-RU"/>
        </w:rPr>
        <w:t>фурми</w:t>
      </w:r>
      <w:r w:rsidRPr="00984498">
        <w:rPr>
          <w:rFonts w:ascii="Verdana" w:hAnsi="Verdana"/>
          <w:sz w:val="20"/>
          <w:szCs w:val="20"/>
          <w:lang w:val="bg-BG" w:eastAsia="ru-RU"/>
        </w:rPr>
        <w:t xml:space="preserve"> в Русия през последните три години също е намалял с 28,6% - от 20,3 до 14,5 хиляди тона в съответствие с резултатите от 2015 г. Водещи доставчици на фурми в Русия са Иран, Тунис и Алжир.</w:t>
      </w:r>
    </w:p>
    <w:p w:rsidR="005956DE" w:rsidRPr="00984498" w:rsidRDefault="005956DE" w:rsidP="005956DE">
      <w:pPr>
        <w:pStyle w:val="a4"/>
        <w:spacing w:line="276" w:lineRule="auto"/>
        <w:ind w:firstLine="708"/>
        <w:jc w:val="both"/>
        <w:rPr>
          <w:rFonts w:ascii="Verdana" w:hAnsi="Verdana"/>
          <w:sz w:val="20"/>
          <w:szCs w:val="20"/>
          <w:lang w:val="bg-BG" w:eastAsia="ru-RU"/>
        </w:rPr>
      </w:pPr>
      <w:r w:rsidRPr="00984498">
        <w:rPr>
          <w:rFonts w:ascii="Verdana" w:hAnsi="Verdana"/>
          <w:sz w:val="20"/>
          <w:szCs w:val="20"/>
          <w:lang w:val="bg-BG" w:eastAsia="ru-RU"/>
        </w:rPr>
        <w:t>През 2015 г. вносът на ирански стоки се е увеличил с 20,5% (след спада с повече от една трета през 2014 г. в сравнение с 2013 г.). Вносът на фурми от Алжир през 2015 г. се е съкратил с 26% (през 2014 г. се е наблюдавал почти двоен ръст в сравнение с 2013 г.). По отношение на Тунис - от 2013 г. до 2015 г.  се наблюдава систематично снижение на вноса от тази страна, като за три години общо възлиза на 66%.</w:t>
      </w:r>
    </w:p>
    <w:p w:rsidR="005956DE" w:rsidRDefault="005956DE" w:rsidP="005956DE">
      <w:pPr>
        <w:pStyle w:val="a4"/>
        <w:spacing w:line="276" w:lineRule="auto"/>
        <w:ind w:firstLine="708"/>
        <w:jc w:val="both"/>
        <w:rPr>
          <w:rFonts w:ascii="Verdana" w:hAnsi="Verdana"/>
          <w:sz w:val="20"/>
          <w:szCs w:val="20"/>
          <w:lang w:val="bg-BG" w:eastAsia="ru-RU"/>
        </w:rPr>
      </w:pPr>
      <w:r w:rsidRPr="00984498">
        <w:rPr>
          <w:rFonts w:ascii="Verdana" w:hAnsi="Verdana"/>
          <w:sz w:val="20"/>
          <w:szCs w:val="20"/>
          <w:lang w:val="bg-BG" w:eastAsia="ru-RU"/>
        </w:rPr>
        <w:t>През първите два месеца на 2016 г. вносът на фурми в Русия е нараснал с 13%, благодарение на доставките от Тунис, които са се увеличили почти 4 пъти (от 148 до 588 тона) и от Алжир - с 34.6% (от 364 до 489 тона).</w:t>
      </w: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spacing w:line="276" w:lineRule="auto"/>
        <w:jc w:val="both"/>
        <w:rPr>
          <w:rFonts w:ascii="Verdana" w:hAnsi="Verdana"/>
          <w:b/>
          <w:i/>
          <w:sz w:val="18"/>
          <w:szCs w:val="18"/>
          <w:lang w:val="bg-BG" w:eastAsia="ru-RU"/>
        </w:rPr>
      </w:pPr>
      <w:r w:rsidRPr="00305A60">
        <w:rPr>
          <w:rFonts w:ascii="Verdana" w:hAnsi="Verdana"/>
          <w:b/>
          <w:i/>
          <w:sz w:val="18"/>
          <w:szCs w:val="18"/>
          <w:lang w:val="bg-BG" w:eastAsia="ru-RU"/>
        </w:rPr>
        <w:t xml:space="preserve">Структура на вноса на </w:t>
      </w:r>
      <w:r>
        <w:rPr>
          <w:rFonts w:ascii="Verdana" w:hAnsi="Verdana"/>
          <w:b/>
          <w:i/>
          <w:sz w:val="18"/>
          <w:szCs w:val="18"/>
          <w:lang w:val="bg-BG" w:eastAsia="ru-RU"/>
        </w:rPr>
        <w:t>кайсии</w:t>
      </w:r>
      <w:r w:rsidRPr="00305A60">
        <w:rPr>
          <w:rFonts w:ascii="Verdana" w:hAnsi="Verdana"/>
          <w:b/>
          <w:i/>
          <w:sz w:val="18"/>
          <w:szCs w:val="18"/>
          <w:lang w:val="bg-BG" w:eastAsia="ru-RU"/>
        </w:rPr>
        <w:t xml:space="preserve"> по страни</w:t>
      </w:r>
    </w:p>
    <w:p w:rsidR="005956DE" w:rsidRPr="00305A60" w:rsidRDefault="005956DE" w:rsidP="005956DE">
      <w:pPr>
        <w:pStyle w:val="a4"/>
        <w:spacing w:line="276" w:lineRule="auto"/>
        <w:jc w:val="both"/>
        <w:rPr>
          <w:rFonts w:ascii="Verdana" w:hAnsi="Verdana"/>
          <w:b/>
          <w:i/>
          <w:sz w:val="18"/>
          <w:szCs w:val="18"/>
          <w:lang w:val="bg-BG" w:eastAsia="ru-RU"/>
        </w:rPr>
      </w:pPr>
      <w:r w:rsidRPr="00305A60">
        <w:rPr>
          <w:rFonts w:ascii="Verdana" w:hAnsi="Verdana"/>
          <w:b/>
          <w:i/>
          <w:sz w:val="18"/>
          <w:szCs w:val="18"/>
          <w:lang w:val="bg-BG" w:eastAsia="ru-RU"/>
        </w:rPr>
        <w:t>за 2015 г. в реално изражение, %</w:t>
      </w:r>
    </w:p>
    <w:p w:rsidR="005956DE" w:rsidRPr="00305A60" w:rsidRDefault="005956DE" w:rsidP="005956DE">
      <w:pPr>
        <w:spacing w:after="0" w:line="312" w:lineRule="auto"/>
        <w:jc w:val="both"/>
        <w:rPr>
          <w:rFonts w:ascii="Verdana" w:eastAsia="Times New Roman" w:hAnsi="Verdana" w:cs="Times New Roman"/>
          <w:i/>
          <w:color w:val="FF0000"/>
          <w:sz w:val="18"/>
          <w:szCs w:val="18"/>
          <w:lang w:eastAsia="ru-RU"/>
        </w:rPr>
      </w:pPr>
      <w:r w:rsidRPr="00305A60">
        <w:rPr>
          <w:rFonts w:ascii="Verdana" w:eastAsia="Times New Roman" w:hAnsi="Verdana" w:cs="Times New Roman"/>
          <w:noProof/>
          <w:color w:val="000000"/>
          <w:sz w:val="20"/>
          <w:szCs w:val="20"/>
          <w:lang w:eastAsia="ru-RU"/>
        </w:rPr>
        <w:drawing>
          <wp:anchor distT="0" distB="0" distL="114300" distR="114300" simplePos="0" relativeHeight="251665408" behindDoc="0" locked="0" layoutInCell="1" allowOverlap="1" wp14:anchorId="4D7AA9D4" wp14:editId="75D2080C">
            <wp:simplePos x="0" y="0"/>
            <wp:positionH relativeFrom="column">
              <wp:posOffset>-635</wp:posOffset>
            </wp:positionH>
            <wp:positionV relativeFrom="paragraph">
              <wp:posOffset>2540</wp:posOffset>
            </wp:positionV>
            <wp:extent cx="1905000" cy="2649220"/>
            <wp:effectExtent l="0" t="0" r="0" b="0"/>
            <wp:wrapSquare wrapText="bothSides"/>
            <wp:docPr id="679" name="Диаграмма 6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956DE" w:rsidRDefault="005956DE" w:rsidP="005956DE">
      <w:pPr>
        <w:pStyle w:val="a4"/>
        <w:spacing w:line="276" w:lineRule="auto"/>
        <w:ind w:firstLine="708"/>
        <w:jc w:val="both"/>
        <w:rPr>
          <w:rFonts w:ascii="Verdana" w:hAnsi="Verdana"/>
          <w:sz w:val="20"/>
          <w:szCs w:val="20"/>
          <w:lang w:val="bg-BG" w:eastAsia="ru-RU"/>
        </w:rPr>
      </w:pPr>
      <w:r>
        <w:rPr>
          <w:rFonts w:ascii="Verdana" w:hAnsi="Verdana"/>
          <w:sz w:val="20"/>
          <w:szCs w:val="20"/>
          <w:lang w:val="bg-BG" w:eastAsia="ru-RU"/>
        </w:rPr>
        <w:t>О</w:t>
      </w:r>
      <w:r w:rsidRPr="00305A60">
        <w:rPr>
          <w:rFonts w:ascii="Verdana" w:hAnsi="Verdana"/>
          <w:sz w:val="20"/>
          <w:szCs w:val="20"/>
          <w:lang w:val="bg-BG" w:eastAsia="ru-RU"/>
        </w:rPr>
        <w:t xml:space="preserve">сновен доставчик на Русия </w:t>
      </w:r>
      <w:r>
        <w:rPr>
          <w:rFonts w:ascii="Verdana" w:hAnsi="Verdana"/>
          <w:sz w:val="20"/>
          <w:szCs w:val="20"/>
          <w:lang w:val="bg-BG" w:eastAsia="ru-RU"/>
        </w:rPr>
        <w:t>п</w:t>
      </w:r>
      <w:r w:rsidRPr="00305A60">
        <w:rPr>
          <w:rFonts w:ascii="Verdana" w:hAnsi="Verdana"/>
          <w:sz w:val="20"/>
          <w:szCs w:val="20"/>
          <w:lang w:val="bg-BG" w:eastAsia="ru-RU"/>
        </w:rPr>
        <w:t xml:space="preserve">ри вноса на </w:t>
      </w:r>
      <w:r w:rsidRPr="00305A60">
        <w:rPr>
          <w:rFonts w:ascii="Verdana" w:hAnsi="Verdana"/>
          <w:b/>
          <w:sz w:val="20"/>
          <w:szCs w:val="20"/>
          <w:lang w:val="bg-BG" w:eastAsia="ru-RU"/>
        </w:rPr>
        <w:t>сушени кайсии</w:t>
      </w:r>
      <w:r w:rsidRPr="00305A60">
        <w:rPr>
          <w:rFonts w:ascii="Verdana" w:hAnsi="Verdana"/>
          <w:sz w:val="20"/>
          <w:szCs w:val="20"/>
          <w:lang w:val="bg-BG" w:eastAsia="ru-RU"/>
        </w:rPr>
        <w:t>, е Турция - през 2013 г. нейният дял е  96% от доставките. През 2015 г. делът на Турция спада до 87,7%, а обемът на доставките – с 3 пъти.</w:t>
      </w:r>
    </w:p>
    <w:p w:rsidR="005956DE" w:rsidRPr="00AD0E69" w:rsidRDefault="005956DE" w:rsidP="005956DE">
      <w:pPr>
        <w:pStyle w:val="a4"/>
        <w:spacing w:line="276" w:lineRule="auto"/>
        <w:ind w:firstLine="708"/>
        <w:jc w:val="both"/>
        <w:rPr>
          <w:rFonts w:ascii="Verdana" w:hAnsi="Verdana"/>
          <w:sz w:val="20"/>
          <w:szCs w:val="20"/>
          <w:lang w:val="bg-BG" w:eastAsia="ru-RU"/>
        </w:rPr>
      </w:pPr>
      <w:r w:rsidRPr="00AD0E69">
        <w:rPr>
          <w:rFonts w:ascii="Verdana" w:hAnsi="Verdana"/>
          <w:sz w:val="20"/>
          <w:szCs w:val="20"/>
          <w:lang w:val="bg-BG" w:eastAsia="ru-RU"/>
        </w:rPr>
        <w:t>Общият обем на вноса на сушени кайсии в Русия от 2013</w:t>
      </w:r>
      <w:r>
        <w:rPr>
          <w:rFonts w:ascii="Verdana" w:hAnsi="Verdana"/>
          <w:sz w:val="20"/>
          <w:szCs w:val="20"/>
          <w:lang w:val="bg-BG" w:eastAsia="ru-RU"/>
        </w:rPr>
        <w:t xml:space="preserve"> г.  до 2015 г. </w:t>
      </w:r>
      <w:r w:rsidRPr="00AD0E69">
        <w:rPr>
          <w:rFonts w:ascii="Verdana" w:hAnsi="Verdana"/>
          <w:sz w:val="20"/>
          <w:szCs w:val="20"/>
          <w:lang w:val="bg-BG" w:eastAsia="ru-RU"/>
        </w:rPr>
        <w:t>е намалял с 2,7 пъти - от 16,1 до 5,9 хиляди тона.</w:t>
      </w:r>
    </w:p>
    <w:p w:rsidR="005956DE" w:rsidRPr="00AD0E69" w:rsidRDefault="005956DE" w:rsidP="005956DE">
      <w:pPr>
        <w:pStyle w:val="a4"/>
        <w:spacing w:line="276" w:lineRule="auto"/>
        <w:ind w:firstLine="708"/>
        <w:jc w:val="both"/>
        <w:rPr>
          <w:rFonts w:ascii="Verdana" w:hAnsi="Verdana"/>
          <w:sz w:val="20"/>
          <w:szCs w:val="20"/>
          <w:lang w:val="bg-BG" w:eastAsia="ru-RU"/>
        </w:rPr>
      </w:pPr>
      <w:r w:rsidRPr="00AD0E69">
        <w:rPr>
          <w:rFonts w:ascii="Verdana" w:hAnsi="Verdana"/>
          <w:sz w:val="20"/>
          <w:szCs w:val="20"/>
          <w:lang w:val="bg-BG" w:eastAsia="ru-RU"/>
        </w:rPr>
        <w:t>През януари-февруари на 2016 г. в сравнение с януари-февруари на 2015 г. вносът на сушени кайсии в страната се е увеличил с 2 пъти, включително и за сметка на увеличените 3 пъти доставки от Турция (от 248 до 750 тона).</w:t>
      </w:r>
    </w:p>
    <w:p w:rsidR="005956DE" w:rsidRDefault="005956DE" w:rsidP="005956DE">
      <w:pPr>
        <w:pStyle w:val="a4"/>
        <w:spacing w:line="276" w:lineRule="auto"/>
        <w:ind w:firstLine="708"/>
        <w:jc w:val="both"/>
        <w:rPr>
          <w:rFonts w:ascii="Verdana" w:hAnsi="Verdana"/>
          <w:sz w:val="20"/>
          <w:szCs w:val="20"/>
          <w:lang w:val="bg-BG" w:eastAsia="ru-RU"/>
        </w:rPr>
      </w:pPr>
    </w:p>
    <w:p w:rsidR="005956DE" w:rsidRPr="00AD0E69" w:rsidRDefault="005956DE" w:rsidP="005956DE">
      <w:pPr>
        <w:pStyle w:val="a4"/>
        <w:spacing w:line="276" w:lineRule="auto"/>
        <w:ind w:firstLine="708"/>
        <w:jc w:val="both"/>
        <w:rPr>
          <w:rFonts w:ascii="Verdana" w:hAnsi="Verdana"/>
          <w:sz w:val="20"/>
          <w:szCs w:val="20"/>
          <w:lang w:val="bg-BG" w:eastAsia="ru-RU"/>
        </w:rPr>
      </w:pPr>
      <w:r w:rsidRPr="00AD0E69">
        <w:rPr>
          <w:rFonts w:ascii="Verdana" w:hAnsi="Verdana"/>
          <w:sz w:val="20"/>
          <w:szCs w:val="20"/>
          <w:lang w:val="bg-BG" w:eastAsia="ru-RU"/>
        </w:rPr>
        <w:t xml:space="preserve">Вносът на </w:t>
      </w:r>
      <w:r w:rsidRPr="00AD6CA7">
        <w:rPr>
          <w:rFonts w:ascii="Verdana" w:hAnsi="Verdana"/>
          <w:b/>
          <w:sz w:val="20"/>
          <w:szCs w:val="20"/>
          <w:lang w:val="bg-BG" w:eastAsia="ru-RU"/>
        </w:rPr>
        <w:t>сушени смокини</w:t>
      </w:r>
      <w:r w:rsidRPr="00AD0E69">
        <w:rPr>
          <w:rFonts w:ascii="Verdana" w:hAnsi="Verdana"/>
          <w:sz w:val="20"/>
          <w:szCs w:val="20"/>
          <w:lang w:val="bg-BG" w:eastAsia="ru-RU"/>
        </w:rPr>
        <w:t>, също се характеризира с единствен доставчик на стоката - Турция.</w:t>
      </w: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spacing w:line="276" w:lineRule="auto"/>
        <w:ind w:firstLine="708"/>
        <w:jc w:val="both"/>
        <w:rPr>
          <w:rFonts w:ascii="Verdana" w:hAnsi="Verdana"/>
          <w:sz w:val="20"/>
          <w:szCs w:val="20"/>
          <w:lang w:val="bg-BG" w:eastAsia="ru-RU"/>
        </w:rPr>
      </w:pPr>
    </w:p>
    <w:p w:rsidR="005956DE" w:rsidRPr="00305A60" w:rsidRDefault="005956DE" w:rsidP="005956DE">
      <w:pPr>
        <w:pStyle w:val="a4"/>
        <w:spacing w:line="276" w:lineRule="auto"/>
        <w:ind w:firstLine="708"/>
        <w:jc w:val="both"/>
        <w:rPr>
          <w:rFonts w:ascii="Verdana" w:hAnsi="Verdana"/>
          <w:sz w:val="20"/>
          <w:szCs w:val="20"/>
          <w:lang w:val="bg-BG" w:eastAsia="ru-RU"/>
        </w:rPr>
      </w:pPr>
      <w:r w:rsidRPr="00AD0E69">
        <w:rPr>
          <w:rFonts w:ascii="Verdana" w:hAnsi="Verdana"/>
          <w:sz w:val="20"/>
          <w:szCs w:val="20"/>
          <w:lang w:val="bg-BG" w:eastAsia="ru-RU"/>
        </w:rPr>
        <w:lastRenderedPageBreak/>
        <w:t>Като цяло, през последните три години обемът на вноса на сушени плодове в Русия (изключвайки страните от Митническия съюз), се е съкратил наполовина.</w:t>
      </w:r>
    </w:p>
    <w:p w:rsidR="005956DE" w:rsidRDefault="005956DE" w:rsidP="005956DE">
      <w:pPr>
        <w:pStyle w:val="a4"/>
        <w:spacing w:line="276" w:lineRule="auto"/>
        <w:ind w:firstLine="708"/>
        <w:jc w:val="both"/>
        <w:rPr>
          <w:rFonts w:ascii="Verdana" w:hAnsi="Verdana"/>
          <w:sz w:val="20"/>
          <w:szCs w:val="20"/>
          <w:lang w:val="bg-BG" w:eastAsia="ru-RU"/>
        </w:rPr>
      </w:pPr>
    </w:p>
    <w:p w:rsidR="005956DE" w:rsidRDefault="005956DE" w:rsidP="005956DE">
      <w:pPr>
        <w:pStyle w:val="a4"/>
        <w:spacing w:line="276" w:lineRule="auto"/>
        <w:ind w:firstLine="708"/>
        <w:jc w:val="both"/>
        <w:rPr>
          <w:rFonts w:ascii="Verdana" w:hAnsi="Verdana"/>
          <w:sz w:val="20"/>
          <w:szCs w:val="20"/>
          <w:lang w:val="bg-BG" w:eastAsia="ru-RU"/>
        </w:rPr>
      </w:pPr>
      <w:r w:rsidRPr="00AD6CA7">
        <w:rPr>
          <w:rFonts w:ascii="Verdana" w:hAnsi="Verdana"/>
          <w:sz w:val="20"/>
          <w:szCs w:val="20"/>
          <w:lang w:val="bg-BG" w:eastAsia="ru-RU"/>
        </w:rPr>
        <w:t>Според резултатите от началото на 2016 г., се наблюдава положителна тенденция - ръст с 17% спрямо същия период на 2015 г.</w:t>
      </w:r>
    </w:p>
    <w:p w:rsidR="005956DE" w:rsidRDefault="005956DE" w:rsidP="005956DE">
      <w:pPr>
        <w:pStyle w:val="a4"/>
        <w:spacing w:line="276" w:lineRule="auto"/>
        <w:ind w:firstLine="708"/>
        <w:jc w:val="center"/>
        <w:rPr>
          <w:rFonts w:ascii="Verdana" w:hAnsi="Verdana"/>
          <w:b/>
          <w:i/>
          <w:sz w:val="18"/>
          <w:szCs w:val="18"/>
          <w:lang w:val="bg-BG" w:eastAsia="ru-RU"/>
        </w:rPr>
      </w:pPr>
    </w:p>
    <w:p w:rsidR="005956DE" w:rsidRDefault="005956DE" w:rsidP="005956DE">
      <w:pPr>
        <w:pStyle w:val="a4"/>
        <w:spacing w:line="276" w:lineRule="auto"/>
        <w:ind w:firstLine="708"/>
        <w:rPr>
          <w:rFonts w:ascii="Verdana" w:hAnsi="Verdana"/>
          <w:b/>
          <w:i/>
          <w:sz w:val="18"/>
          <w:szCs w:val="18"/>
          <w:lang w:val="bg-BG" w:eastAsia="ru-RU"/>
        </w:rPr>
      </w:pPr>
    </w:p>
    <w:p w:rsidR="005956DE" w:rsidRPr="003F20C4" w:rsidRDefault="005956DE" w:rsidP="005956DE">
      <w:pPr>
        <w:pStyle w:val="a4"/>
        <w:spacing w:line="276" w:lineRule="auto"/>
        <w:ind w:firstLine="708"/>
        <w:jc w:val="center"/>
        <w:rPr>
          <w:rFonts w:ascii="Verdana" w:hAnsi="Verdana"/>
          <w:sz w:val="18"/>
          <w:szCs w:val="18"/>
          <w:lang w:val="bg-BG" w:eastAsia="ru-RU"/>
        </w:rPr>
      </w:pPr>
      <w:r w:rsidRPr="00AD1BEA">
        <w:rPr>
          <w:rFonts w:ascii="Verdana" w:hAnsi="Verdana"/>
          <w:b/>
          <w:i/>
          <w:sz w:val="18"/>
          <w:szCs w:val="18"/>
          <w:lang w:val="bg-BG" w:eastAsia="ru-RU"/>
        </w:rPr>
        <w:t>Обемът на внос</w:t>
      </w:r>
      <w:r>
        <w:rPr>
          <w:rFonts w:ascii="Verdana" w:hAnsi="Verdana"/>
          <w:b/>
          <w:i/>
          <w:sz w:val="18"/>
          <w:szCs w:val="18"/>
          <w:lang w:val="bg-BG" w:eastAsia="ru-RU"/>
        </w:rPr>
        <w:t>а</w:t>
      </w:r>
      <w:r w:rsidRPr="00AD1BEA">
        <w:rPr>
          <w:rFonts w:ascii="Verdana" w:hAnsi="Verdana"/>
          <w:b/>
          <w:i/>
          <w:sz w:val="18"/>
          <w:szCs w:val="18"/>
          <w:lang w:val="bg-BG" w:eastAsia="ru-RU"/>
        </w:rPr>
        <w:t xml:space="preserve"> на сушени плодове от 2013 г. – до февруари 2016 г., тонове</w:t>
      </w:r>
    </w:p>
    <w:tbl>
      <w:tblPr>
        <w:tblStyle w:val="3-61"/>
        <w:tblW w:w="0" w:type="auto"/>
        <w:jc w:val="center"/>
        <w:tblLayout w:type="fixed"/>
        <w:tblLook w:val="04A0" w:firstRow="1" w:lastRow="0" w:firstColumn="1" w:lastColumn="0" w:noHBand="0" w:noVBand="1"/>
      </w:tblPr>
      <w:tblGrid>
        <w:gridCol w:w="1701"/>
        <w:gridCol w:w="14"/>
        <w:gridCol w:w="968"/>
        <w:gridCol w:w="14"/>
        <w:gridCol w:w="968"/>
        <w:gridCol w:w="14"/>
        <w:gridCol w:w="1352"/>
        <w:gridCol w:w="14"/>
        <w:gridCol w:w="968"/>
        <w:gridCol w:w="14"/>
        <w:gridCol w:w="1352"/>
        <w:gridCol w:w="14"/>
      </w:tblGrid>
      <w:tr w:rsidR="005956DE" w:rsidRPr="003F20C4" w:rsidTr="0058327A">
        <w:trPr>
          <w:gridAfter w:val="1"/>
          <w:cnfStyle w:val="100000000000" w:firstRow="1" w:lastRow="0" w:firstColumn="0" w:lastColumn="0" w:oddVBand="0" w:evenVBand="0" w:oddHBand="0" w:evenHBand="0" w:firstRowFirstColumn="0" w:firstRowLastColumn="0" w:lastRowFirstColumn="0" w:lastRowLastColumn="0"/>
          <w:wAfter w:w="14" w:type="dxa"/>
          <w:trHeight w:val="51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5956DE" w:rsidRPr="00DE05FB"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DE05FB">
              <w:rPr>
                <w:rFonts w:ascii="Verdana" w:eastAsia="Times New Roman" w:hAnsi="Verdana" w:cs="Times New Roman"/>
                <w:i/>
                <w:color w:val="984806" w:themeColor="accent6" w:themeShade="80"/>
                <w:sz w:val="18"/>
                <w:szCs w:val="18"/>
                <w:lang w:val="bg-BG" w:eastAsia="ru-RU"/>
              </w:rPr>
              <w:t>Видове сушени плодове</w:t>
            </w:r>
          </w:p>
        </w:tc>
        <w:tc>
          <w:tcPr>
            <w:tcW w:w="982" w:type="dxa"/>
            <w:gridSpan w:val="2"/>
            <w:vAlign w:val="center"/>
          </w:tcPr>
          <w:p w:rsidR="005956DE" w:rsidRPr="00DE05FB" w:rsidRDefault="005956DE" w:rsidP="0058327A">
            <w:pPr>
              <w:spacing w:after="20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
                <w:color w:val="984806" w:themeColor="accent6" w:themeShade="80"/>
                <w:sz w:val="18"/>
                <w:szCs w:val="18"/>
                <w:lang w:eastAsia="ru-RU"/>
              </w:rPr>
            </w:pPr>
            <w:r w:rsidRPr="00DE05FB">
              <w:rPr>
                <w:rFonts w:ascii="Verdana" w:eastAsia="Times New Roman" w:hAnsi="Verdana" w:cs="Times New Roman"/>
                <w:i/>
                <w:color w:val="984806" w:themeColor="accent6" w:themeShade="80"/>
                <w:sz w:val="18"/>
                <w:szCs w:val="18"/>
                <w:lang w:eastAsia="ru-RU"/>
              </w:rPr>
              <w:t>2013</w:t>
            </w:r>
          </w:p>
        </w:tc>
        <w:tc>
          <w:tcPr>
            <w:tcW w:w="982" w:type="dxa"/>
            <w:gridSpan w:val="2"/>
            <w:vAlign w:val="center"/>
          </w:tcPr>
          <w:p w:rsidR="005956DE" w:rsidRPr="00DE05FB" w:rsidRDefault="005956DE" w:rsidP="0058327A">
            <w:pPr>
              <w:spacing w:after="20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
                <w:color w:val="984806" w:themeColor="accent6" w:themeShade="80"/>
                <w:sz w:val="18"/>
                <w:szCs w:val="18"/>
                <w:lang w:eastAsia="ru-RU"/>
              </w:rPr>
            </w:pPr>
            <w:r w:rsidRPr="00DE05FB">
              <w:rPr>
                <w:rFonts w:ascii="Verdana" w:eastAsia="Times New Roman" w:hAnsi="Verdana" w:cs="Times New Roman"/>
                <w:i/>
                <w:color w:val="984806" w:themeColor="accent6" w:themeShade="80"/>
                <w:sz w:val="18"/>
                <w:szCs w:val="18"/>
                <w:lang w:eastAsia="ru-RU"/>
              </w:rPr>
              <w:t>2014</w:t>
            </w:r>
          </w:p>
        </w:tc>
        <w:tc>
          <w:tcPr>
            <w:tcW w:w="1366" w:type="dxa"/>
            <w:gridSpan w:val="2"/>
            <w:vAlign w:val="center"/>
          </w:tcPr>
          <w:p w:rsidR="005956DE" w:rsidRPr="00DE05FB" w:rsidRDefault="005956DE" w:rsidP="0058327A">
            <w:pPr>
              <w:spacing w:after="20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
                <w:color w:val="984806" w:themeColor="accent6" w:themeShade="80"/>
                <w:sz w:val="18"/>
                <w:szCs w:val="18"/>
                <w:lang w:eastAsia="ru-RU"/>
              </w:rPr>
            </w:pPr>
            <w:proofErr w:type="spellStart"/>
            <w:r w:rsidRPr="00DE05FB">
              <w:rPr>
                <w:rFonts w:ascii="Verdana" w:eastAsia="Times New Roman" w:hAnsi="Verdana" w:cs="Times New Roman"/>
                <w:i/>
                <w:color w:val="984806" w:themeColor="accent6" w:themeShade="80"/>
                <w:sz w:val="18"/>
                <w:szCs w:val="18"/>
                <w:lang w:eastAsia="ru-RU"/>
              </w:rPr>
              <w:t>Януари-февруари</w:t>
            </w:r>
            <w:proofErr w:type="spellEnd"/>
            <w:r w:rsidRPr="00DE05FB">
              <w:rPr>
                <w:rFonts w:ascii="Verdana" w:eastAsia="Times New Roman" w:hAnsi="Verdana" w:cs="Times New Roman"/>
                <w:i/>
                <w:color w:val="984806" w:themeColor="accent6" w:themeShade="80"/>
                <w:sz w:val="18"/>
                <w:szCs w:val="18"/>
                <w:lang w:eastAsia="ru-RU"/>
              </w:rPr>
              <w:t xml:space="preserve"> 2015</w:t>
            </w:r>
          </w:p>
        </w:tc>
        <w:tc>
          <w:tcPr>
            <w:tcW w:w="982" w:type="dxa"/>
            <w:gridSpan w:val="2"/>
            <w:vAlign w:val="center"/>
          </w:tcPr>
          <w:p w:rsidR="005956DE" w:rsidRPr="00DE05FB" w:rsidRDefault="005956DE" w:rsidP="0058327A">
            <w:pPr>
              <w:spacing w:after="20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
                <w:color w:val="984806" w:themeColor="accent6" w:themeShade="80"/>
                <w:sz w:val="18"/>
                <w:szCs w:val="18"/>
                <w:lang w:eastAsia="ru-RU"/>
              </w:rPr>
            </w:pPr>
            <w:r w:rsidRPr="00DE05FB">
              <w:rPr>
                <w:rFonts w:ascii="Verdana" w:eastAsia="Times New Roman" w:hAnsi="Verdana" w:cs="Times New Roman"/>
                <w:i/>
                <w:color w:val="984806" w:themeColor="accent6" w:themeShade="80"/>
                <w:sz w:val="18"/>
                <w:szCs w:val="18"/>
                <w:lang w:eastAsia="ru-RU"/>
              </w:rPr>
              <w:t>2015</w:t>
            </w:r>
          </w:p>
        </w:tc>
        <w:tc>
          <w:tcPr>
            <w:tcW w:w="1366" w:type="dxa"/>
            <w:gridSpan w:val="2"/>
            <w:vAlign w:val="center"/>
          </w:tcPr>
          <w:p w:rsidR="005956DE" w:rsidRPr="00DE05FB" w:rsidRDefault="005956DE" w:rsidP="0058327A">
            <w:pPr>
              <w:spacing w:after="20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i/>
                <w:color w:val="984806" w:themeColor="accent6" w:themeShade="80"/>
                <w:sz w:val="18"/>
                <w:szCs w:val="18"/>
                <w:lang w:eastAsia="ru-RU"/>
              </w:rPr>
            </w:pPr>
            <w:proofErr w:type="spellStart"/>
            <w:r w:rsidRPr="00DE05FB">
              <w:rPr>
                <w:rFonts w:ascii="Verdana" w:eastAsia="Times New Roman" w:hAnsi="Verdana" w:cs="Times New Roman"/>
                <w:i/>
                <w:color w:val="984806" w:themeColor="accent6" w:themeShade="80"/>
                <w:sz w:val="18"/>
                <w:szCs w:val="18"/>
                <w:lang w:eastAsia="ru-RU"/>
              </w:rPr>
              <w:t>Януари-февруари</w:t>
            </w:r>
            <w:proofErr w:type="spellEnd"/>
            <w:r w:rsidRPr="00DE05FB">
              <w:rPr>
                <w:rFonts w:ascii="Verdana" w:eastAsia="Times New Roman" w:hAnsi="Verdana" w:cs="Times New Roman"/>
                <w:i/>
                <w:color w:val="984806" w:themeColor="accent6" w:themeShade="80"/>
                <w:sz w:val="18"/>
                <w:szCs w:val="18"/>
                <w:lang w:eastAsia="ru-RU"/>
              </w:rPr>
              <w:t xml:space="preserve"> 2016</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стафиди</w:t>
            </w:r>
          </w:p>
        </w:tc>
        <w:tc>
          <w:tcPr>
            <w:tcW w:w="982" w:type="dxa"/>
            <w:gridSpan w:val="2"/>
            <w:vAlign w:val="center"/>
          </w:tcPr>
          <w:p w:rsidR="005956DE" w:rsidRPr="003F20C4" w:rsidRDefault="005956DE" w:rsidP="0058327A">
            <w:pPr>
              <w:spacing w:after="200" w:line="312"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3F20C4">
              <w:rPr>
                <w:rFonts w:ascii="Verdana" w:eastAsia="Times New Roman" w:hAnsi="Verdana" w:cs="Times New Roman"/>
                <w:i/>
                <w:sz w:val="18"/>
                <w:szCs w:val="18"/>
                <w:lang w:eastAsia="ru-RU"/>
              </w:rPr>
              <w:t>41 805</w:t>
            </w:r>
          </w:p>
        </w:tc>
        <w:tc>
          <w:tcPr>
            <w:tcW w:w="982" w:type="dxa"/>
            <w:gridSpan w:val="2"/>
            <w:vAlign w:val="center"/>
          </w:tcPr>
          <w:p w:rsidR="005956DE" w:rsidRPr="003F20C4" w:rsidRDefault="005956DE" w:rsidP="0058327A">
            <w:pPr>
              <w:spacing w:after="200" w:line="312"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3F20C4">
              <w:rPr>
                <w:rFonts w:ascii="Verdana" w:eastAsia="Times New Roman" w:hAnsi="Verdana" w:cs="Times New Roman"/>
                <w:i/>
                <w:sz w:val="18"/>
                <w:szCs w:val="18"/>
                <w:lang w:eastAsia="ru-RU"/>
              </w:rPr>
              <w:t>29 636</w:t>
            </w:r>
          </w:p>
        </w:tc>
        <w:tc>
          <w:tcPr>
            <w:tcW w:w="1366" w:type="dxa"/>
            <w:gridSpan w:val="2"/>
            <w:vAlign w:val="center"/>
          </w:tcPr>
          <w:p w:rsidR="005956DE" w:rsidRPr="003F20C4" w:rsidRDefault="005956DE" w:rsidP="0058327A">
            <w:pPr>
              <w:spacing w:after="200" w:line="312"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3F20C4">
              <w:rPr>
                <w:rFonts w:ascii="Verdana" w:eastAsia="Times New Roman" w:hAnsi="Verdana" w:cs="Times New Roman"/>
                <w:i/>
                <w:sz w:val="18"/>
                <w:szCs w:val="18"/>
                <w:lang w:eastAsia="ru-RU"/>
              </w:rPr>
              <w:t>2 980</w:t>
            </w:r>
          </w:p>
        </w:tc>
        <w:tc>
          <w:tcPr>
            <w:tcW w:w="982" w:type="dxa"/>
            <w:gridSpan w:val="2"/>
            <w:vAlign w:val="center"/>
          </w:tcPr>
          <w:p w:rsidR="005956DE" w:rsidRPr="003F20C4" w:rsidRDefault="005956DE" w:rsidP="0058327A">
            <w:pPr>
              <w:spacing w:after="200" w:line="312"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3F20C4">
              <w:rPr>
                <w:rFonts w:ascii="Verdana" w:eastAsia="Times New Roman" w:hAnsi="Verdana" w:cs="Times New Roman"/>
                <w:i/>
                <w:sz w:val="18"/>
                <w:szCs w:val="18"/>
                <w:lang w:eastAsia="ru-RU"/>
              </w:rPr>
              <w:t>20 594</w:t>
            </w:r>
          </w:p>
        </w:tc>
        <w:tc>
          <w:tcPr>
            <w:tcW w:w="1366" w:type="dxa"/>
            <w:gridSpan w:val="2"/>
            <w:vAlign w:val="center"/>
          </w:tcPr>
          <w:p w:rsidR="005956DE" w:rsidRPr="003F20C4" w:rsidRDefault="005956DE" w:rsidP="0058327A">
            <w:pPr>
              <w:spacing w:after="200" w:line="312"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3F20C4">
              <w:rPr>
                <w:rFonts w:ascii="Verdana" w:eastAsia="Times New Roman" w:hAnsi="Verdana" w:cs="Times New Roman"/>
                <w:i/>
                <w:sz w:val="18"/>
                <w:szCs w:val="18"/>
                <w:lang w:eastAsia="ru-RU"/>
              </w:rPr>
              <w:t>3 522</w:t>
            </w:r>
          </w:p>
        </w:tc>
      </w:tr>
      <w:tr w:rsidR="005956DE" w:rsidRPr="003F20C4" w:rsidTr="0058327A">
        <w:trPr>
          <w:trHeight w:val="177"/>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сини сливи</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31 919</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15 621</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1781</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12 855</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2 165</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фурми</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20 381</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17 398</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1 727</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14 552</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1 954</w:t>
            </w:r>
          </w:p>
        </w:tc>
      </w:tr>
      <w:tr w:rsidR="005956DE" w:rsidRPr="003F20C4" w:rsidTr="0058327A">
        <w:trPr>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кайсии</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16 181</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8 094</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419</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5 928</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865</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смокини</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4 389</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3 058</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280</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2 430</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142</w:t>
            </w:r>
          </w:p>
        </w:tc>
      </w:tr>
      <w:tr w:rsidR="005956DE" w:rsidRPr="003F20C4" w:rsidTr="0058327A">
        <w:trPr>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банани</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578</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755</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77</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394</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66</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ябълки</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417</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394</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13</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375</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78</w:t>
            </w:r>
          </w:p>
        </w:tc>
      </w:tr>
      <w:tr w:rsidR="005956DE" w:rsidRPr="003F20C4" w:rsidTr="0058327A">
        <w:trPr>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круши</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150</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50</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0</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гуава,</w:t>
            </w:r>
            <w:r>
              <w:rPr>
                <w:rFonts w:ascii="Verdana" w:eastAsia="Times New Roman" w:hAnsi="Verdana" w:cs="Times New Roman"/>
                <w:i/>
                <w:color w:val="984806" w:themeColor="accent6" w:themeShade="80"/>
                <w:sz w:val="18"/>
                <w:szCs w:val="18"/>
                <w:lang w:val="bg-BG" w:eastAsia="ru-RU"/>
              </w:rPr>
              <w:t xml:space="preserve"> </w:t>
            </w:r>
            <w:r w:rsidRPr="003F20C4">
              <w:rPr>
                <w:rFonts w:ascii="Verdana" w:eastAsia="Times New Roman" w:hAnsi="Verdana" w:cs="Times New Roman"/>
                <w:i/>
                <w:color w:val="984806" w:themeColor="accent6" w:themeShade="80"/>
                <w:sz w:val="18"/>
                <w:szCs w:val="18"/>
                <w:lang w:val="bg-BG" w:eastAsia="ru-RU"/>
              </w:rPr>
              <w:t>манго</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14</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17</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4</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12</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w:t>
            </w:r>
          </w:p>
        </w:tc>
      </w:tr>
      <w:tr w:rsidR="005956DE" w:rsidRPr="003F20C4" w:rsidTr="0058327A">
        <w:trPr>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праскови и нектарини</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4</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10</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8</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17</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ананаси</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15</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11</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3</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0</w:t>
            </w:r>
          </w:p>
        </w:tc>
      </w:tr>
      <w:tr w:rsidR="005956DE" w:rsidRPr="003F20C4" w:rsidTr="0058327A">
        <w:trPr>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папая</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0</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0</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2</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0</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други видове и смеси</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4 349</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2 651</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328</w:t>
            </w:r>
          </w:p>
        </w:tc>
        <w:tc>
          <w:tcPr>
            <w:tcW w:w="982"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1 790</w:t>
            </w:r>
          </w:p>
        </w:tc>
        <w:tc>
          <w:tcPr>
            <w:tcW w:w="1366" w:type="dxa"/>
            <w:gridSpan w:val="2"/>
            <w:vAlign w:val="center"/>
          </w:tcPr>
          <w:p w:rsidR="005956DE" w:rsidRPr="006E2E2D" w:rsidRDefault="005956DE" w:rsidP="0058327A">
            <w:pPr>
              <w:spacing w:after="200"/>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117</w:t>
            </w:r>
          </w:p>
        </w:tc>
      </w:tr>
      <w:tr w:rsidR="005956DE" w:rsidRPr="003F20C4" w:rsidTr="0058327A">
        <w:trPr>
          <w:trHeight w:val="202"/>
          <w:jc w:val="center"/>
        </w:trPr>
        <w:tc>
          <w:tcPr>
            <w:cnfStyle w:val="001000000000" w:firstRow="0" w:lastRow="0" w:firstColumn="1" w:lastColumn="0" w:oddVBand="0" w:evenVBand="0" w:oddHBand="0" w:evenHBand="0" w:firstRowFirstColumn="0" w:firstRowLastColumn="0" w:lastRowFirstColumn="0" w:lastRowLastColumn="0"/>
            <w:tcW w:w="1715" w:type="dxa"/>
            <w:gridSpan w:val="2"/>
            <w:vAlign w:val="bottom"/>
          </w:tcPr>
          <w:p w:rsidR="005956DE" w:rsidRPr="003F20C4" w:rsidRDefault="005956DE" w:rsidP="0058327A">
            <w:pPr>
              <w:spacing w:after="200"/>
              <w:jc w:val="center"/>
              <w:rPr>
                <w:rFonts w:ascii="Verdana" w:eastAsia="Times New Roman" w:hAnsi="Verdana" w:cs="Times New Roman"/>
                <w:i/>
                <w:color w:val="984806" w:themeColor="accent6" w:themeShade="80"/>
                <w:sz w:val="18"/>
                <w:szCs w:val="18"/>
                <w:lang w:val="bg-BG" w:eastAsia="ru-RU"/>
              </w:rPr>
            </w:pPr>
            <w:r w:rsidRPr="003F20C4">
              <w:rPr>
                <w:rFonts w:ascii="Verdana" w:eastAsia="Times New Roman" w:hAnsi="Verdana" w:cs="Times New Roman"/>
                <w:i/>
                <w:color w:val="984806" w:themeColor="accent6" w:themeShade="80"/>
                <w:sz w:val="18"/>
                <w:szCs w:val="18"/>
                <w:lang w:val="bg-BG" w:eastAsia="ru-RU"/>
              </w:rPr>
              <w:t>ОБЩО:</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120 201</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77 698</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7 618</w:t>
            </w:r>
          </w:p>
        </w:tc>
        <w:tc>
          <w:tcPr>
            <w:tcW w:w="982"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58 953</w:t>
            </w:r>
          </w:p>
        </w:tc>
        <w:tc>
          <w:tcPr>
            <w:tcW w:w="1366" w:type="dxa"/>
            <w:gridSpan w:val="2"/>
            <w:vAlign w:val="center"/>
          </w:tcPr>
          <w:p w:rsidR="005956DE" w:rsidRPr="006E2E2D" w:rsidRDefault="005956DE" w:rsidP="0058327A">
            <w:pPr>
              <w:spacing w:after="200"/>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i/>
                <w:sz w:val="18"/>
                <w:szCs w:val="18"/>
                <w:lang w:eastAsia="ru-RU"/>
              </w:rPr>
            </w:pPr>
            <w:r w:rsidRPr="006E2E2D">
              <w:rPr>
                <w:rFonts w:ascii="Verdana" w:eastAsia="Times New Roman" w:hAnsi="Verdana" w:cs="Times New Roman"/>
                <w:i/>
                <w:sz w:val="18"/>
                <w:szCs w:val="18"/>
                <w:lang w:eastAsia="ru-RU"/>
              </w:rPr>
              <w:t>8 914</w:t>
            </w:r>
          </w:p>
        </w:tc>
      </w:tr>
    </w:tbl>
    <w:p w:rsidR="005956DE" w:rsidRPr="003F20C4" w:rsidRDefault="005956DE" w:rsidP="005956DE">
      <w:pPr>
        <w:spacing w:after="0" w:line="312" w:lineRule="auto"/>
        <w:ind w:left="708" w:firstLine="708"/>
        <w:rPr>
          <w:rFonts w:ascii="Verdana" w:eastAsia="Times New Roman" w:hAnsi="Verdana" w:cs="Times New Roman"/>
          <w:i/>
          <w:sz w:val="18"/>
          <w:szCs w:val="18"/>
          <w:lang w:val="bg-BG" w:eastAsia="ru-RU"/>
        </w:rPr>
      </w:pPr>
      <w:r w:rsidRPr="003F20C4">
        <w:rPr>
          <w:rFonts w:ascii="Verdana" w:eastAsia="Times New Roman" w:hAnsi="Verdana" w:cs="Times New Roman"/>
          <w:i/>
          <w:sz w:val="18"/>
          <w:szCs w:val="18"/>
          <w:lang w:eastAsia="ru-RU"/>
        </w:rPr>
        <w:t>*</w:t>
      </w:r>
      <w:r w:rsidRPr="003F20C4">
        <w:rPr>
          <w:rFonts w:ascii="Calibri" w:eastAsia="Calibri" w:hAnsi="Calibri" w:cs="Times New Roman"/>
        </w:rPr>
        <w:t xml:space="preserve"> </w:t>
      </w:r>
      <w:r w:rsidRPr="003F20C4">
        <w:rPr>
          <w:rFonts w:ascii="Calibri" w:eastAsia="Calibri" w:hAnsi="Calibri" w:cs="Times New Roman"/>
          <w:lang w:val="bg-BG"/>
        </w:rPr>
        <w:t xml:space="preserve">с </w:t>
      </w:r>
      <w:r w:rsidRPr="003F20C4">
        <w:rPr>
          <w:rFonts w:ascii="Verdana" w:eastAsia="Times New Roman" w:hAnsi="Verdana" w:cs="Times New Roman"/>
          <w:i/>
          <w:sz w:val="18"/>
          <w:szCs w:val="18"/>
          <w:lang w:val="bg-BG" w:eastAsia="ru-RU"/>
        </w:rPr>
        <w:t>изключение на  страните от Митническия съюз</w:t>
      </w:r>
    </w:p>
    <w:p w:rsidR="005956DE" w:rsidRDefault="005956DE" w:rsidP="005956DE">
      <w:pPr>
        <w:pStyle w:val="a4"/>
        <w:spacing w:line="276" w:lineRule="auto"/>
        <w:ind w:firstLine="708"/>
        <w:jc w:val="both"/>
        <w:rPr>
          <w:rFonts w:ascii="Verdana" w:hAnsi="Verdana"/>
          <w:sz w:val="20"/>
          <w:szCs w:val="20"/>
          <w:lang w:val="bg-BG"/>
        </w:rPr>
      </w:pPr>
    </w:p>
    <w:p w:rsidR="005956DE" w:rsidRDefault="005956DE" w:rsidP="005956DE">
      <w:pPr>
        <w:pStyle w:val="a4"/>
        <w:spacing w:line="276" w:lineRule="auto"/>
        <w:ind w:firstLine="708"/>
        <w:jc w:val="both"/>
        <w:rPr>
          <w:rFonts w:ascii="Verdana" w:hAnsi="Verdana"/>
          <w:sz w:val="20"/>
          <w:szCs w:val="20"/>
          <w:lang w:val="bg-BG"/>
        </w:rPr>
      </w:pPr>
      <w:r w:rsidRPr="003F20C4">
        <w:rPr>
          <w:rFonts w:ascii="Verdana" w:hAnsi="Verdana"/>
          <w:sz w:val="20"/>
          <w:szCs w:val="20"/>
          <w:lang w:val="bg-BG"/>
        </w:rPr>
        <w:t>Като цяло, делът на вноса на първите десет страни-доставчици на пресни и сушени плодове в Русия през 2015 г. възлизат на 87%.</w:t>
      </w:r>
    </w:p>
    <w:p w:rsidR="005956DE" w:rsidRDefault="005956DE" w:rsidP="005956DE">
      <w:pPr>
        <w:pStyle w:val="a4"/>
        <w:spacing w:line="276" w:lineRule="auto"/>
        <w:rPr>
          <w:rFonts w:ascii="Verdana" w:hAnsi="Verdana"/>
          <w:b/>
          <w:i/>
          <w:sz w:val="18"/>
          <w:szCs w:val="18"/>
          <w:lang w:val="bg-BG"/>
        </w:rPr>
      </w:pPr>
    </w:p>
    <w:p w:rsidR="005956DE" w:rsidRPr="003F20C4" w:rsidRDefault="005956DE" w:rsidP="005956DE">
      <w:pPr>
        <w:pStyle w:val="a4"/>
        <w:spacing w:line="276" w:lineRule="auto"/>
        <w:rPr>
          <w:rFonts w:ascii="Verdana" w:hAnsi="Verdana"/>
          <w:b/>
          <w:i/>
          <w:sz w:val="18"/>
          <w:szCs w:val="18"/>
          <w:lang w:val="bg-BG"/>
        </w:rPr>
      </w:pPr>
      <w:r w:rsidRPr="003F20C4">
        <w:rPr>
          <w:rFonts w:ascii="Verdana" w:hAnsi="Verdana"/>
          <w:b/>
          <w:i/>
          <w:sz w:val="18"/>
          <w:szCs w:val="18"/>
          <w:lang w:val="bg-BG"/>
        </w:rPr>
        <w:t>Първите десет страни-доставчици на пресни и сушени плодове в Русия през 2013 г. и 2015г.</w:t>
      </w:r>
    </w:p>
    <w:tbl>
      <w:tblPr>
        <w:tblStyle w:val="3-62"/>
        <w:tblW w:w="0" w:type="auto"/>
        <w:jc w:val="center"/>
        <w:tblLook w:val="04A0" w:firstRow="1" w:lastRow="0" w:firstColumn="1" w:lastColumn="0" w:noHBand="0" w:noVBand="1"/>
      </w:tblPr>
      <w:tblGrid>
        <w:gridCol w:w="2066"/>
        <w:gridCol w:w="1787"/>
        <w:gridCol w:w="1926"/>
        <w:gridCol w:w="1650"/>
      </w:tblGrid>
      <w:tr w:rsidR="005956DE" w:rsidRPr="003F20C4" w:rsidTr="0058327A">
        <w:trPr>
          <w:cnfStyle w:val="100000000000" w:firstRow="1" w:lastRow="0" w:firstColumn="0" w:lastColumn="0" w:oddVBand="0" w:evenVBand="0" w:oddHBand="0"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Първите десет страни-доставчици за 2013 г.</w:t>
            </w:r>
          </w:p>
        </w:tc>
        <w:tc>
          <w:tcPr>
            <w:tcW w:w="1787" w:type="dxa"/>
            <w:vAlign w:val="center"/>
          </w:tcPr>
          <w:p w:rsidR="005956DE" w:rsidRPr="003F20C4" w:rsidRDefault="005956DE" w:rsidP="0058327A">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984806" w:themeColor="accent6" w:themeShade="80"/>
                <w:sz w:val="18"/>
                <w:szCs w:val="18"/>
                <w:lang w:val="bg-BG" w:eastAsia="ru-RU"/>
              </w:rPr>
            </w:pPr>
            <w:r w:rsidRPr="003F20C4">
              <w:rPr>
                <w:rFonts w:ascii="Verdana" w:eastAsia="Times New Roman" w:hAnsi="Verdana" w:cs="Times New Roman"/>
                <w:color w:val="984806" w:themeColor="accent6" w:themeShade="80"/>
                <w:sz w:val="18"/>
                <w:szCs w:val="18"/>
                <w:lang w:val="bg-BG" w:eastAsia="ru-RU"/>
              </w:rPr>
              <w:t>Дял от вноса, 2013 г.,%</w:t>
            </w:r>
          </w:p>
        </w:tc>
        <w:tc>
          <w:tcPr>
            <w:tcW w:w="1926" w:type="dxa"/>
            <w:vAlign w:val="center"/>
          </w:tcPr>
          <w:p w:rsidR="005956DE" w:rsidRPr="003F20C4" w:rsidRDefault="005956DE" w:rsidP="0058327A">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984806" w:themeColor="accent6" w:themeShade="80"/>
                <w:sz w:val="18"/>
                <w:szCs w:val="18"/>
                <w:lang w:val="bg-BG" w:eastAsia="ru-RU"/>
              </w:rPr>
            </w:pPr>
            <w:r w:rsidRPr="003F20C4">
              <w:rPr>
                <w:rFonts w:ascii="Verdana" w:eastAsia="Times New Roman" w:hAnsi="Verdana" w:cs="Times New Roman"/>
                <w:color w:val="984806" w:themeColor="accent6" w:themeShade="80"/>
                <w:sz w:val="18"/>
                <w:szCs w:val="18"/>
                <w:lang w:val="bg-BG" w:eastAsia="ru-RU"/>
              </w:rPr>
              <w:t>Първите десет страни-доставчици за 2015 г.</w:t>
            </w:r>
          </w:p>
        </w:tc>
        <w:tc>
          <w:tcPr>
            <w:tcW w:w="1650" w:type="dxa"/>
            <w:vAlign w:val="center"/>
          </w:tcPr>
          <w:p w:rsidR="005956DE" w:rsidRPr="003F20C4" w:rsidRDefault="005956DE" w:rsidP="0058327A">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984806" w:themeColor="accent6" w:themeShade="80"/>
                <w:sz w:val="18"/>
                <w:szCs w:val="18"/>
                <w:lang w:val="bg-BG" w:eastAsia="ru-RU"/>
              </w:rPr>
            </w:pPr>
            <w:r w:rsidRPr="003F20C4">
              <w:rPr>
                <w:rFonts w:ascii="Verdana" w:eastAsia="Times New Roman" w:hAnsi="Verdana" w:cs="Times New Roman"/>
                <w:color w:val="984806" w:themeColor="accent6" w:themeShade="80"/>
                <w:sz w:val="18"/>
                <w:szCs w:val="18"/>
                <w:lang w:val="bg-BG" w:eastAsia="ru-RU"/>
              </w:rPr>
              <w:t>Дял от вноса, 2015 г.,%</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Еквадор</w:t>
            </w:r>
          </w:p>
        </w:tc>
        <w:tc>
          <w:tcPr>
            <w:tcW w:w="1787"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21</w:t>
            </w:r>
          </w:p>
        </w:tc>
        <w:tc>
          <w:tcPr>
            <w:tcW w:w="1926"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Еквадор</w:t>
            </w:r>
          </w:p>
        </w:tc>
        <w:tc>
          <w:tcPr>
            <w:tcW w:w="1650"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29</w:t>
            </w:r>
          </w:p>
        </w:tc>
      </w:tr>
      <w:tr w:rsidR="005956DE" w:rsidRPr="003F20C4" w:rsidTr="0058327A">
        <w:trPr>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Полша</w:t>
            </w:r>
          </w:p>
        </w:tc>
        <w:tc>
          <w:tcPr>
            <w:tcW w:w="1787"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13</w:t>
            </w:r>
          </w:p>
        </w:tc>
        <w:tc>
          <w:tcPr>
            <w:tcW w:w="1926"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Турция</w:t>
            </w:r>
          </w:p>
        </w:tc>
        <w:tc>
          <w:tcPr>
            <w:tcW w:w="1650"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20</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Турция</w:t>
            </w:r>
          </w:p>
        </w:tc>
        <w:tc>
          <w:tcPr>
            <w:tcW w:w="1787"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12</w:t>
            </w:r>
          </w:p>
        </w:tc>
        <w:tc>
          <w:tcPr>
            <w:tcW w:w="1926"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Китай</w:t>
            </w:r>
          </w:p>
        </w:tc>
        <w:tc>
          <w:tcPr>
            <w:tcW w:w="1650"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7</w:t>
            </w:r>
          </w:p>
        </w:tc>
      </w:tr>
      <w:tr w:rsidR="005956DE" w:rsidRPr="003F20C4" w:rsidTr="0058327A">
        <w:trPr>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Китай</w:t>
            </w:r>
          </w:p>
        </w:tc>
        <w:tc>
          <w:tcPr>
            <w:tcW w:w="1787"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5</w:t>
            </w:r>
          </w:p>
        </w:tc>
        <w:tc>
          <w:tcPr>
            <w:tcW w:w="1926"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Египет</w:t>
            </w:r>
          </w:p>
        </w:tc>
        <w:tc>
          <w:tcPr>
            <w:tcW w:w="1650"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6</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Испания</w:t>
            </w:r>
          </w:p>
        </w:tc>
        <w:tc>
          <w:tcPr>
            <w:tcW w:w="1787"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c>
          <w:tcPr>
            <w:tcW w:w="1926"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Мароко</w:t>
            </w:r>
          </w:p>
        </w:tc>
        <w:tc>
          <w:tcPr>
            <w:tcW w:w="1650"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5</w:t>
            </w:r>
          </w:p>
        </w:tc>
      </w:tr>
      <w:tr w:rsidR="005956DE" w:rsidRPr="003F20C4" w:rsidTr="0058327A">
        <w:trPr>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Египет</w:t>
            </w:r>
          </w:p>
        </w:tc>
        <w:tc>
          <w:tcPr>
            <w:tcW w:w="1787"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c>
          <w:tcPr>
            <w:tcW w:w="1926"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Сърбия</w:t>
            </w:r>
          </w:p>
        </w:tc>
        <w:tc>
          <w:tcPr>
            <w:tcW w:w="1650"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5</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Мароко</w:t>
            </w:r>
          </w:p>
        </w:tc>
        <w:tc>
          <w:tcPr>
            <w:tcW w:w="1787"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c>
          <w:tcPr>
            <w:tcW w:w="1926"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Южна Африка</w:t>
            </w:r>
          </w:p>
        </w:tc>
        <w:tc>
          <w:tcPr>
            <w:tcW w:w="1650"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5</w:t>
            </w:r>
          </w:p>
        </w:tc>
      </w:tr>
      <w:tr w:rsidR="005956DE" w:rsidRPr="003F20C4" w:rsidTr="0058327A">
        <w:trPr>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Южна Африка</w:t>
            </w:r>
          </w:p>
        </w:tc>
        <w:tc>
          <w:tcPr>
            <w:tcW w:w="1787"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c>
          <w:tcPr>
            <w:tcW w:w="1926"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 xml:space="preserve">Аржентина </w:t>
            </w:r>
          </w:p>
        </w:tc>
        <w:tc>
          <w:tcPr>
            <w:tcW w:w="1650"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lastRenderedPageBreak/>
              <w:t>Молдова</w:t>
            </w:r>
          </w:p>
        </w:tc>
        <w:tc>
          <w:tcPr>
            <w:tcW w:w="1787"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c>
          <w:tcPr>
            <w:tcW w:w="1926"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Азърбайджан</w:t>
            </w:r>
          </w:p>
        </w:tc>
        <w:tc>
          <w:tcPr>
            <w:tcW w:w="1650"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r>
      <w:tr w:rsidR="005956DE" w:rsidRPr="003F20C4" w:rsidTr="0058327A">
        <w:trPr>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Аржентина</w:t>
            </w:r>
          </w:p>
        </w:tc>
        <w:tc>
          <w:tcPr>
            <w:tcW w:w="1787"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4</w:t>
            </w:r>
          </w:p>
        </w:tc>
        <w:tc>
          <w:tcPr>
            <w:tcW w:w="1926"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Пакистан</w:t>
            </w:r>
          </w:p>
        </w:tc>
        <w:tc>
          <w:tcPr>
            <w:tcW w:w="1650" w:type="dxa"/>
            <w:vAlign w:val="center"/>
          </w:tcPr>
          <w:p w:rsidR="005956DE" w:rsidRPr="003F20C4" w:rsidRDefault="005956DE" w:rsidP="0058327A">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2</w:t>
            </w:r>
          </w:p>
        </w:tc>
      </w:tr>
      <w:tr w:rsidR="005956DE" w:rsidRPr="003F20C4" w:rsidTr="0058327A">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2066" w:type="dxa"/>
            <w:vAlign w:val="center"/>
          </w:tcPr>
          <w:p w:rsidR="005956DE" w:rsidRPr="00DE05FB" w:rsidRDefault="005956DE" w:rsidP="0058327A">
            <w:pPr>
              <w:jc w:val="center"/>
              <w:rPr>
                <w:rFonts w:ascii="Verdana" w:eastAsia="Times New Roman" w:hAnsi="Verdana" w:cs="Times New Roman"/>
                <w:color w:val="984806" w:themeColor="accent6" w:themeShade="80"/>
                <w:sz w:val="18"/>
                <w:szCs w:val="18"/>
                <w:lang w:val="bg-BG" w:eastAsia="ru-RU"/>
              </w:rPr>
            </w:pPr>
            <w:r w:rsidRPr="00DE05FB">
              <w:rPr>
                <w:rFonts w:ascii="Verdana" w:eastAsia="Times New Roman" w:hAnsi="Verdana" w:cs="Times New Roman"/>
                <w:color w:val="984806" w:themeColor="accent6" w:themeShade="80"/>
                <w:sz w:val="18"/>
                <w:szCs w:val="18"/>
                <w:lang w:val="bg-BG" w:eastAsia="ru-RU"/>
              </w:rPr>
              <w:t>Други</w:t>
            </w:r>
          </w:p>
        </w:tc>
        <w:tc>
          <w:tcPr>
            <w:tcW w:w="1787"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24</w:t>
            </w:r>
          </w:p>
        </w:tc>
        <w:tc>
          <w:tcPr>
            <w:tcW w:w="1926"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984806" w:themeColor="accent6" w:themeShade="80"/>
                <w:sz w:val="18"/>
                <w:szCs w:val="18"/>
                <w:lang w:val="bg-BG" w:eastAsia="ru-RU"/>
              </w:rPr>
            </w:pPr>
            <w:r w:rsidRPr="003F20C4">
              <w:rPr>
                <w:rFonts w:ascii="Verdana" w:eastAsia="Times New Roman" w:hAnsi="Verdana" w:cs="Times New Roman"/>
                <w:b/>
                <w:color w:val="984806" w:themeColor="accent6" w:themeShade="80"/>
                <w:sz w:val="18"/>
                <w:szCs w:val="18"/>
                <w:lang w:val="bg-BG" w:eastAsia="ru-RU"/>
              </w:rPr>
              <w:t>Други</w:t>
            </w:r>
          </w:p>
        </w:tc>
        <w:tc>
          <w:tcPr>
            <w:tcW w:w="1650" w:type="dxa"/>
            <w:vAlign w:val="center"/>
          </w:tcPr>
          <w:p w:rsidR="005956DE" w:rsidRPr="003F20C4" w:rsidRDefault="005956DE" w:rsidP="0058327A">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val="bg-BG" w:eastAsia="ru-RU"/>
              </w:rPr>
            </w:pPr>
            <w:r w:rsidRPr="003F20C4">
              <w:rPr>
                <w:rFonts w:ascii="Verdana" w:eastAsia="Times New Roman" w:hAnsi="Verdana" w:cs="Times New Roman"/>
                <w:sz w:val="18"/>
                <w:szCs w:val="18"/>
                <w:lang w:val="bg-BG" w:eastAsia="ru-RU"/>
              </w:rPr>
              <w:t>13</w:t>
            </w:r>
          </w:p>
        </w:tc>
      </w:tr>
    </w:tbl>
    <w:p w:rsidR="005956DE" w:rsidRDefault="005956DE" w:rsidP="005956DE">
      <w:pPr>
        <w:spacing w:after="0" w:line="312" w:lineRule="auto"/>
        <w:ind w:left="708" w:firstLine="708"/>
        <w:rPr>
          <w:rFonts w:ascii="Verdana" w:eastAsia="Times New Roman" w:hAnsi="Verdana" w:cs="Times New Roman"/>
          <w:i/>
          <w:sz w:val="18"/>
          <w:szCs w:val="18"/>
          <w:lang w:val="bg-BG" w:eastAsia="ru-RU"/>
        </w:rPr>
      </w:pPr>
      <w:r w:rsidRPr="003F20C4">
        <w:rPr>
          <w:rFonts w:ascii="Verdana" w:eastAsia="Times New Roman" w:hAnsi="Verdana" w:cs="Times New Roman"/>
          <w:i/>
          <w:sz w:val="18"/>
          <w:szCs w:val="18"/>
          <w:lang w:eastAsia="ru-RU"/>
        </w:rPr>
        <w:t>*</w:t>
      </w:r>
      <w:r w:rsidRPr="003F20C4">
        <w:rPr>
          <w:rFonts w:ascii="Calibri" w:eastAsia="Calibri" w:hAnsi="Calibri" w:cs="Times New Roman"/>
        </w:rPr>
        <w:t xml:space="preserve"> </w:t>
      </w:r>
      <w:r w:rsidRPr="003F20C4">
        <w:rPr>
          <w:rFonts w:ascii="Calibri" w:eastAsia="Calibri" w:hAnsi="Calibri" w:cs="Times New Roman"/>
          <w:lang w:val="bg-BG"/>
        </w:rPr>
        <w:t xml:space="preserve">с </w:t>
      </w:r>
      <w:r w:rsidRPr="003F20C4">
        <w:rPr>
          <w:rFonts w:ascii="Verdana" w:eastAsia="Times New Roman" w:hAnsi="Verdana" w:cs="Times New Roman"/>
          <w:i/>
          <w:sz w:val="18"/>
          <w:szCs w:val="18"/>
          <w:lang w:val="bg-BG" w:eastAsia="ru-RU"/>
        </w:rPr>
        <w:t>изключение на  страните от Митническия съюз</w:t>
      </w:r>
    </w:p>
    <w:p w:rsidR="005956DE" w:rsidRDefault="005956DE" w:rsidP="005956DE">
      <w:pPr>
        <w:spacing w:after="0" w:line="312" w:lineRule="auto"/>
        <w:ind w:left="708" w:firstLine="708"/>
        <w:rPr>
          <w:rFonts w:ascii="Verdana" w:eastAsia="Times New Roman" w:hAnsi="Verdana" w:cs="Times New Roman"/>
          <w:i/>
          <w:sz w:val="18"/>
          <w:szCs w:val="18"/>
          <w:lang w:val="bg-BG" w:eastAsia="ru-RU"/>
        </w:rPr>
      </w:pPr>
    </w:p>
    <w:p w:rsidR="005956DE" w:rsidRDefault="005956DE" w:rsidP="005956DE">
      <w:pPr>
        <w:spacing w:after="0"/>
        <w:rPr>
          <w:rFonts w:ascii="Verdana" w:eastAsia="Times New Roman" w:hAnsi="Verdana" w:cs="Times New Roman"/>
          <w:b/>
          <w:sz w:val="20"/>
          <w:szCs w:val="20"/>
          <w:lang w:val="bg-BG" w:eastAsia="ru-RU"/>
        </w:rPr>
      </w:pPr>
    </w:p>
    <w:p w:rsidR="005956DE" w:rsidRDefault="005956DE" w:rsidP="005956DE">
      <w:pPr>
        <w:spacing w:after="0"/>
        <w:ind w:firstLine="708"/>
        <w:jc w:val="both"/>
        <w:rPr>
          <w:rFonts w:ascii="Verdana" w:eastAsia="Times New Roman" w:hAnsi="Verdana" w:cs="Times New Roman"/>
          <w:sz w:val="20"/>
          <w:szCs w:val="20"/>
          <w:lang w:val="bg-BG" w:eastAsia="ru-RU"/>
        </w:rPr>
      </w:pPr>
      <w:r w:rsidRPr="001474CE">
        <w:rPr>
          <w:rFonts w:ascii="Verdana" w:eastAsia="Times New Roman" w:hAnsi="Verdana" w:cs="Times New Roman"/>
          <w:b/>
          <w:sz w:val="20"/>
          <w:szCs w:val="20"/>
          <w:lang w:val="bg-BG" w:eastAsia="ru-RU"/>
        </w:rPr>
        <w:t xml:space="preserve">Доставките на плодове от страните </w:t>
      </w:r>
      <w:r>
        <w:rPr>
          <w:rFonts w:ascii="Verdana" w:eastAsia="Times New Roman" w:hAnsi="Verdana" w:cs="Times New Roman"/>
          <w:b/>
          <w:sz w:val="20"/>
          <w:szCs w:val="20"/>
          <w:lang w:val="bg-BG" w:eastAsia="ru-RU"/>
        </w:rPr>
        <w:t>на</w:t>
      </w:r>
      <w:r w:rsidRPr="001474CE">
        <w:rPr>
          <w:rFonts w:ascii="Verdana" w:eastAsia="Times New Roman" w:hAnsi="Verdana" w:cs="Times New Roman"/>
          <w:b/>
          <w:sz w:val="20"/>
          <w:szCs w:val="20"/>
          <w:lang w:val="bg-BG" w:eastAsia="ru-RU"/>
        </w:rPr>
        <w:t xml:space="preserve"> Митническия съюз - Армения, Беларус, Казахстан и Киргизстан.</w:t>
      </w:r>
    </w:p>
    <w:p w:rsidR="005956DE" w:rsidRPr="001474CE" w:rsidRDefault="005956DE" w:rsidP="005956DE">
      <w:pPr>
        <w:spacing w:after="0"/>
        <w:ind w:firstLine="708"/>
        <w:jc w:val="both"/>
        <w:rPr>
          <w:rFonts w:ascii="Verdana" w:eastAsia="Times New Roman" w:hAnsi="Verdana" w:cs="Times New Roman"/>
          <w:sz w:val="20"/>
          <w:szCs w:val="20"/>
          <w:lang w:val="bg-BG" w:eastAsia="ru-RU"/>
        </w:rPr>
      </w:pPr>
      <w:r w:rsidRPr="001474CE">
        <w:rPr>
          <w:rFonts w:ascii="Verdana" w:eastAsia="Times New Roman" w:hAnsi="Verdana" w:cs="Times New Roman"/>
          <w:sz w:val="20"/>
          <w:szCs w:val="20"/>
          <w:lang w:val="bg-BG" w:eastAsia="ru-RU"/>
        </w:rPr>
        <w:t>През 2015 г. вносът на пресни и сушени плодове от тези страни е в размер на 832.4 хиляди тона, по-конкретно, 96,8% е внос</w:t>
      </w:r>
      <w:r>
        <w:rPr>
          <w:rFonts w:ascii="Verdana" w:eastAsia="Times New Roman" w:hAnsi="Verdana" w:cs="Times New Roman"/>
          <w:sz w:val="20"/>
          <w:szCs w:val="20"/>
          <w:lang w:val="bg-BG" w:eastAsia="ru-RU"/>
        </w:rPr>
        <w:t>а</w:t>
      </w:r>
      <w:r w:rsidRPr="001474CE">
        <w:rPr>
          <w:rFonts w:ascii="Verdana" w:eastAsia="Times New Roman" w:hAnsi="Verdana" w:cs="Times New Roman"/>
          <w:sz w:val="20"/>
          <w:szCs w:val="20"/>
          <w:lang w:val="bg-BG" w:eastAsia="ru-RU"/>
        </w:rPr>
        <w:t xml:space="preserve"> от Беларус, като основният внос е на пресни ябълки. Ако през 2013 г., данните на Националния статистически комитет на Белорусия сочат, че са внесени 117 хиляди тона ябълки, то през 2015 г. обемът на доставките е достигнал 518 хиляди тона. Трябва да се отбележи, че вносът на пресни ябълки в самата Беларус също се е увеличил - от 181 хиляди тона през 2013 г. до 731 хиляди тона през 2015 г.</w:t>
      </w:r>
    </w:p>
    <w:p w:rsidR="005956DE" w:rsidRDefault="005956DE" w:rsidP="005956DE">
      <w:pPr>
        <w:pStyle w:val="a4"/>
        <w:spacing w:line="276" w:lineRule="auto"/>
        <w:rPr>
          <w:rFonts w:ascii="Verdana" w:hAnsi="Verdana"/>
          <w:sz w:val="20"/>
          <w:szCs w:val="20"/>
          <w:lang w:val="bg-BG"/>
        </w:rPr>
      </w:pPr>
      <w:r>
        <w:rPr>
          <w:rFonts w:ascii="Verdana" w:hAnsi="Verdana"/>
          <w:sz w:val="20"/>
          <w:szCs w:val="20"/>
          <w:lang w:val="bg-BG"/>
        </w:rPr>
        <w:tab/>
      </w:r>
    </w:p>
    <w:p w:rsidR="005956DE" w:rsidRPr="00172238" w:rsidRDefault="005956DE" w:rsidP="005956DE">
      <w:pPr>
        <w:pStyle w:val="a4"/>
        <w:ind w:firstLine="708"/>
        <w:rPr>
          <w:rFonts w:ascii="Verdana" w:hAnsi="Verdana"/>
          <w:b/>
          <w:sz w:val="20"/>
          <w:szCs w:val="20"/>
          <w:lang w:val="bg-BG"/>
        </w:rPr>
      </w:pPr>
      <w:r w:rsidRPr="00172238">
        <w:rPr>
          <w:rFonts w:ascii="Verdana" w:hAnsi="Verdana"/>
          <w:b/>
          <w:sz w:val="20"/>
          <w:szCs w:val="20"/>
          <w:lang w:val="bg-BG"/>
        </w:rPr>
        <w:t>2. Ядки.</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През 2015 г. вносът на ядки в Русия (с изключение на доставките от страните на Митнически съюз) е в размер на 134.2 хил.т.</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В сравнение с 2014 г. обемът на вноса е намалял с 13%. В същото време за периода януари-февруари 2016 г. спада е с 18,6%. Що се отнася до вноса на ядки от страните от Митническия съюз, то той е бил незначителен на фона на общия обем на вноса на тези продукти от другите страни.</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 xml:space="preserve">От гледна точка на видовата структура, трябва да се отбележи, че основният внос е на </w:t>
      </w:r>
      <w:r w:rsidRPr="00E92C10">
        <w:rPr>
          <w:rFonts w:ascii="Verdana" w:hAnsi="Verdana"/>
          <w:b/>
          <w:sz w:val="20"/>
          <w:szCs w:val="20"/>
          <w:lang w:val="bg-BG"/>
        </w:rPr>
        <w:t>фъстъци</w:t>
      </w:r>
      <w:r w:rsidRPr="00172238">
        <w:rPr>
          <w:rFonts w:ascii="Verdana" w:hAnsi="Verdana"/>
          <w:sz w:val="20"/>
          <w:szCs w:val="20"/>
          <w:lang w:val="bg-BG"/>
        </w:rPr>
        <w:t>, доставките на които на фона на вноса на другите видове ядки, през 2015 г. се е увеличил с 3,1%, и представлява 76,3% от вноса в реално изражение. Въпреки това, през януари-февруари 2016 г. фъстъци са внесени с 17% по-малко, отколкото през същия период на 2015 година.</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През 2015 г. вноса на фъстъци в Русия по обем в реално изражение, е 3 пъти по-висок от вноса на други видове ядки, но по отношение на стойността е с 30% по-ниска в сравнение с вноса на другите видове ядки. За сравнение: през 2015 г. в РФ са внесени 102.4 хиляди тона фъстъци на обща стойност 142 милиона долара, а бадеми - 4,4 хиляди тона за 51.6 милиона долара.</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Вноса на фъстъци в страната през последните три години се е увеличил с 14%. Основният доставчик, сп</w:t>
      </w:r>
      <w:r>
        <w:rPr>
          <w:rFonts w:ascii="Verdana" w:hAnsi="Verdana"/>
          <w:sz w:val="20"/>
          <w:szCs w:val="20"/>
          <w:lang w:val="bg-BG"/>
        </w:rPr>
        <w:t>оред</w:t>
      </w:r>
      <w:r w:rsidRPr="00172238">
        <w:rPr>
          <w:rFonts w:ascii="Verdana" w:hAnsi="Verdana"/>
          <w:sz w:val="20"/>
          <w:szCs w:val="20"/>
          <w:lang w:val="bg-BG"/>
        </w:rPr>
        <w:t xml:space="preserve"> резултатите от 2015 г., е Аржентина, чи</w:t>
      </w:r>
      <w:r>
        <w:rPr>
          <w:rFonts w:ascii="Verdana" w:hAnsi="Verdana"/>
          <w:sz w:val="20"/>
          <w:szCs w:val="20"/>
          <w:lang w:val="bg-BG"/>
        </w:rPr>
        <w:t>й</w:t>
      </w:r>
      <w:r w:rsidRPr="00172238">
        <w:rPr>
          <w:rFonts w:ascii="Verdana" w:hAnsi="Verdana"/>
          <w:sz w:val="20"/>
          <w:szCs w:val="20"/>
          <w:lang w:val="bg-BG"/>
        </w:rPr>
        <w:t>то дял е 57,5% от вноса.</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Второ място заема Бразилия с дял от 20%. В сравнение с 2014 г. вноса на фъстъци от тези страни е нараснал съответно с 65</w:t>
      </w:r>
      <w:r>
        <w:rPr>
          <w:rFonts w:ascii="Verdana" w:hAnsi="Verdana"/>
          <w:sz w:val="20"/>
          <w:szCs w:val="20"/>
          <w:lang w:val="bg-BG"/>
        </w:rPr>
        <w:t>%</w:t>
      </w:r>
      <w:r w:rsidRPr="00172238">
        <w:rPr>
          <w:rFonts w:ascii="Verdana" w:hAnsi="Verdana"/>
          <w:sz w:val="20"/>
          <w:szCs w:val="20"/>
          <w:lang w:val="bg-BG"/>
        </w:rPr>
        <w:t xml:space="preserve"> и 92%. Заслужава да се отбележи, че през 2013-2014 г. в лидиращата тройка по внос на фъстъци са били и САЩ. Но през 2015 г., вносът на фъстъци от тази страна се е съкратил с 6 пъти, въпреки, че този вид ядки не е включен в списъка на стоки, забранени от внос в Русия. Въведена е забрана за доставка на фъстъци от САЩ от 01 май 2015 г., поради превишено съдържание на кадмий.</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За първите два месеца на 2016 г. вноса на фъстъци от Аржентина е намалял с 5% в сравнение със същия период на 2015 г. (от 7 517 до 7 147 тона). Доставките от Индия, която през 2015 г. е била една от трите основни доставчици, са се снижили с 7,5 пъти (от 3 392 до 449 тона). Свободната ниша се заема от Бразилия и вноса й се увеличава с 2.6 пъти (от 1 539 до 4 015 тона).</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Освен фъстъци, сред основните видове ядки, които са внесени в Рус</w:t>
      </w:r>
      <w:r>
        <w:rPr>
          <w:rFonts w:ascii="Verdana" w:hAnsi="Verdana"/>
          <w:sz w:val="20"/>
          <w:szCs w:val="20"/>
          <w:lang w:val="bg-BG"/>
        </w:rPr>
        <w:t xml:space="preserve">ката федерация през 2015 г. са </w:t>
      </w:r>
      <w:r w:rsidRPr="00E92C10">
        <w:rPr>
          <w:rFonts w:ascii="Verdana" w:hAnsi="Verdana"/>
          <w:b/>
          <w:sz w:val="20"/>
          <w:szCs w:val="20"/>
          <w:lang w:val="bg-BG"/>
        </w:rPr>
        <w:t>кокосови орехи и лешници</w:t>
      </w:r>
      <w:r w:rsidRPr="00172238">
        <w:rPr>
          <w:rFonts w:ascii="Verdana" w:hAnsi="Verdana"/>
          <w:sz w:val="20"/>
          <w:szCs w:val="20"/>
          <w:lang w:val="bg-BG"/>
        </w:rPr>
        <w:t>. Основният доставчик на кокосови орехи в Русия</w:t>
      </w:r>
      <w:r>
        <w:rPr>
          <w:rFonts w:ascii="Verdana" w:hAnsi="Verdana"/>
          <w:sz w:val="20"/>
          <w:szCs w:val="20"/>
          <w:lang w:val="bg-BG"/>
        </w:rPr>
        <w:t xml:space="preserve"> през 2015 г. са Филипините, чий</w:t>
      </w:r>
      <w:r w:rsidRPr="00172238">
        <w:rPr>
          <w:rFonts w:ascii="Verdana" w:hAnsi="Verdana"/>
          <w:sz w:val="20"/>
          <w:szCs w:val="20"/>
          <w:lang w:val="bg-BG"/>
        </w:rPr>
        <w:t xml:space="preserve">то внос през 2014 г.е нараствал с 3%. Второ място по обеми заема Индонезия - доставките на кокосови орехи </w:t>
      </w:r>
      <w:r w:rsidRPr="00172238">
        <w:rPr>
          <w:rFonts w:ascii="Verdana" w:hAnsi="Verdana"/>
          <w:sz w:val="20"/>
          <w:szCs w:val="20"/>
          <w:lang w:val="bg-BG"/>
        </w:rPr>
        <w:lastRenderedPageBreak/>
        <w:t>от тази страна през 2015 г. са намалели с 20%. Също така в челната тройка е и Кот д'Ивоар. Като цяло, тези доставчици са осигурили 95% от реалния обем на вноса през 2015 г.</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 xml:space="preserve">В сравнение с 2014 година, вноса на лешници е намалял с 35%, но по резултатите на първите два месеца на 2016 г. е отбелязан ръст от 2,5%. Водещата тройка доставчици на този вид ядки в Русия са Азербайджан, Турция и Грузия. През 2015 г. от Азербайджан са внесени с 48% по-малко лешници, отколкото през 2014 г., но показателите от периода януари-февруари </w:t>
      </w:r>
      <w:r>
        <w:rPr>
          <w:rFonts w:ascii="Verdana" w:hAnsi="Verdana"/>
          <w:sz w:val="20"/>
          <w:szCs w:val="20"/>
          <w:lang w:val="bg-BG"/>
        </w:rPr>
        <w:t xml:space="preserve">на </w:t>
      </w:r>
      <w:r w:rsidRPr="00172238">
        <w:rPr>
          <w:rFonts w:ascii="Verdana" w:hAnsi="Verdana"/>
          <w:sz w:val="20"/>
          <w:szCs w:val="20"/>
          <w:lang w:val="bg-BG"/>
        </w:rPr>
        <w:t>2016 г. показват положителна тенденция: вносът се е увеличил почти 2 пъти. Отделно, трябва да се отбележи настъпилият през последните три години растеж на вноса на лешник от Грузия - делът на доставките от тази страна през 2015 г. възлиза на 18,5% срещу 0,3% през 2013 година.</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 xml:space="preserve">Най-голямо снижение на доставките се наблюдава в сегментите на </w:t>
      </w:r>
      <w:r w:rsidRPr="0036517F">
        <w:rPr>
          <w:rFonts w:ascii="Verdana" w:hAnsi="Verdana"/>
          <w:b/>
          <w:sz w:val="20"/>
          <w:szCs w:val="20"/>
          <w:lang w:val="bg-BG"/>
        </w:rPr>
        <w:t>бадемите и шамфъстъка</w:t>
      </w:r>
      <w:r w:rsidRPr="00172238">
        <w:rPr>
          <w:rFonts w:ascii="Verdana" w:hAnsi="Verdana"/>
          <w:sz w:val="20"/>
          <w:szCs w:val="20"/>
          <w:lang w:val="bg-BG"/>
        </w:rPr>
        <w:t>. Вноса на бадеми в реално изражение е намалял от 24,5 хиляди тона през 2013 г. до 4</w:t>
      </w:r>
      <w:r>
        <w:rPr>
          <w:rFonts w:ascii="Verdana" w:hAnsi="Verdana"/>
          <w:sz w:val="20"/>
          <w:szCs w:val="20"/>
          <w:lang w:val="bg-BG"/>
        </w:rPr>
        <w:t>,</w:t>
      </w:r>
      <w:r w:rsidRPr="00172238">
        <w:rPr>
          <w:rFonts w:ascii="Verdana" w:hAnsi="Verdana"/>
          <w:sz w:val="20"/>
          <w:szCs w:val="20"/>
          <w:lang w:val="bg-BG"/>
        </w:rPr>
        <w:t>3 тона през 2015</w:t>
      </w:r>
      <w:r>
        <w:rPr>
          <w:rFonts w:ascii="Verdana" w:hAnsi="Verdana"/>
          <w:sz w:val="20"/>
          <w:szCs w:val="20"/>
          <w:lang w:val="bg-BG"/>
        </w:rPr>
        <w:t xml:space="preserve"> г</w:t>
      </w:r>
      <w:r w:rsidRPr="00172238">
        <w:rPr>
          <w:rFonts w:ascii="Verdana" w:hAnsi="Verdana"/>
          <w:sz w:val="20"/>
          <w:szCs w:val="20"/>
          <w:lang w:val="bg-BG"/>
        </w:rPr>
        <w:t>. През първите два месеца на 2016 г. вносът на бадеми спада с още 27%.</w:t>
      </w:r>
    </w:p>
    <w:p w:rsidR="005956DE" w:rsidRPr="00172238" w:rsidRDefault="005956DE" w:rsidP="005956DE">
      <w:pPr>
        <w:pStyle w:val="a4"/>
        <w:spacing w:line="276" w:lineRule="auto"/>
        <w:jc w:val="both"/>
        <w:rPr>
          <w:rFonts w:ascii="Verdana" w:hAnsi="Verdana"/>
          <w:sz w:val="20"/>
          <w:szCs w:val="20"/>
          <w:lang w:val="bg-BG"/>
        </w:rPr>
      </w:pPr>
      <w:r w:rsidRPr="00172238">
        <w:rPr>
          <w:rFonts w:ascii="Verdana" w:hAnsi="Verdana"/>
          <w:sz w:val="20"/>
          <w:szCs w:val="20"/>
          <w:lang w:val="bg-BG"/>
        </w:rPr>
        <w:t>През 2013 г. и 2014 г. най-големият доставчик на бадеми в страната са били САЩ (независимо от ответните санкции, наложени през август 2014 г.) - делът на тази страна съответно е бил 97% и 89% от вноса.</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Оттеглянето на САЩ  от пазара на бадеми в Русия, през 2015 г. бе частично компенсирано от доставки от Чили - обемът на вноса от тази страна нарас</w:t>
      </w:r>
      <w:r>
        <w:rPr>
          <w:rFonts w:ascii="Verdana" w:hAnsi="Verdana"/>
          <w:sz w:val="20"/>
          <w:szCs w:val="20"/>
          <w:lang w:val="bg-BG"/>
        </w:rPr>
        <w:t>в</w:t>
      </w:r>
      <w:r w:rsidRPr="00172238">
        <w:rPr>
          <w:rFonts w:ascii="Verdana" w:hAnsi="Verdana"/>
          <w:sz w:val="20"/>
          <w:szCs w:val="20"/>
          <w:lang w:val="bg-BG"/>
        </w:rPr>
        <w:t>а до 1 902 тона в сравнение с 175 тона година по-рано. В лидиращата тройка влизат още Турция и ОАЕ. В началото на 2016 г. доставките от Турция намаляват с 70% (от 167 до 50 тона). През 2015 г. вносът на бадеми от Китай се е увеличил с почти 11 пъти по отношение на 2013 г.</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Вноса на шамфъстъ</w:t>
      </w:r>
      <w:r>
        <w:rPr>
          <w:rFonts w:ascii="Verdana" w:hAnsi="Verdana"/>
          <w:sz w:val="20"/>
          <w:szCs w:val="20"/>
          <w:lang w:val="bg-BG"/>
        </w:rPr>
        <w:t>к</w:t>
      </w:r>
      <w:r w:rsidRPr="00172238">
        <w:rPr>
          <w:rFonts w:ascii="Verdana" w:hAnsi="Verdana"/>
          <w:sz w:val="20"/>
          <w:szCs w:val="20"/>
          <w:lang w:val="bg-BG"/>
        </w:rPr>
        <w:t xml:space="preserve"> през 2015 г. е бил в размер на 2,17 </w:t>
      </w:r>
      <w:r>
        <w:rPr>
          <w:rFonts w:ascii="Verdana" w:hAnsi="Verdana"/>
          <w:sz w:val="20"/>
          <w:szCs w:val="20"/>
          <w:lang w:val="bg-BG"/>
        </w:rPr>
        <w:t>хиляди</w:t>
      </w:r>
      <w:r w:rsidRPr="00172238">
        <w:rPr>
          <w:rFonts w:ascii="Verdana" w:hAnsi="Verdana"/>
          <w:sz w:val="20"/>
          <w:szCs w:val="20"/>
          <w:lang w:val="bg-BG"/>
        </w:rPr>
        <w:t xml:space="preserve"> тона, срещу 12,6 хиляди тона през 2013 година. В този сегмент, основните доставчици са САЩ и Иран. През 2013 г. делът на тези страни е бил съответно 54% и 44%. След въвеждането на санкции, Иран остава почти единственият доставчик в този сегмент - делът му през 2015 г. достига 93,7%, като останалата незначителна част от обема се заема от Китай. През януари-февруари 2016 г. вноса на шамфъстъ</w:t>
      </w:r>
      <w:r>
        <w:rPr>
          <w:rFonts w:ascii="Verdana" w:hAnsi="Verdana"/>
          <w:sz w:val="20"/>
          <w:szCs w:val="20"/>
          <w:lang w:val="bg-BG"/>
        </w:rPr>
        <w:t>к</w:t>
      </w:r>
      <w:r w:rsidRPr="00172238">
        <w:rPr>
          <w:rFonts w:ascii="Verdana" w:hAnsi="Verdana"/>
          <w:sz w:val="20"/>
          <w:szCs w:val="20"/>
          <w:lang w:val="bg-BG"/>
        </w:rPr>
        <w:t xml:space="preserve"> в Русия е в размер на 424 тона, от които 423 тона са от Иран.</w:t>
      </w:r>
    </w:p>
    <w:p w:rsidR="005956DE" w:rsidRPr="00172238"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Основният поток от внесените ядки се разпространява на три руск</w:t>
      </w:r>
      <w:r>
        <w:rPr>
          <w:rFonts w:ascii="Verdana" w:hAnsi="Verdana"/>
          <w:sz w:val="20"/>
          <w:szCs w:val="20"/>
          <w:lang w:val="bg-BG"/>
        </w:rPr>
        <w:t>и</w:t>
      </w:r>
      <w:r w:rsidRPr="00172238">
        <w:rPr>
          <w:rFonts w:ascii="Verdana" w:hAnsi="Verdana"/>
          <w:sz w:val="20"/>
          <w:szCs w:val="20"/>
          <w:lang w:val="bg-BG"/>
        </w:rPr>
        <w:t xml:space="preserve"> територи</w:t>
      </w:r>
      <w:r>
        <w:rPr>
          <w:rFonts w:ascii="Verdana" w:hAnsi="Verdana"/>
          <w:sz w:val="20"/>
          <w:szCs w:val="20"/>
          <w:lang w:val="bg-BG"/>
        </w:rPr>
        <w:t>и</w:t>
      </w:r>
      <w:r w:rsidRPr="00172238">
        <w:rPr>
          <w:rFonts w:ascii="Verdana" w:hAnsi="Verdana"/>
          <w:sz w:val="20"/>
          <w:szCs w:val="20"/>
          <w:lang w:val="bg-BG"/>
        </w:rPr>
        <w:t xml:space="preserve"> - Москва и Московска област (48.2% в реално изражение), Санкт Петербург (20.6%) и Калининградска област (11,1%). През 2015 г., общият дял на тези субекти е бил 80%.</w:t>
      </w:r>
    </w:p>
    <w:p w:rsidR="005956DE" w:rsidRDefault="005956DE" w:rsidP="005956DE">
      <w:pPr>
        <w:pStyle w:val="a4"/>
        <w:spacing w:line="276" w:lineRule="auto"/>
        <w:ind w:firstLine="708"/>
        <w:jc w:val="both"/>
        <w:rPr>
          <w:rFonts w:ascii="Verdana" w:hAnsi="Verdana"/>
          <w:sz w:val="20"/>
          <w:szCs w:val="20"/>
          <w:lang w:val="bg-BG"/>
        </w:rPr>
      </w:pPr>
      <w:r w:rsidRPr="00172238">
        <w:rPr>
          <w:rFonts w:ascii="Verdana" w:hAnsi="Verdana"/>
          <w:sz w:val="20"/>
          <w:szCs w:val="20"/>
          <w:lang w:val="bg-BG"/>
        </w:rPr>
        <w:t>Като цяло, влошаването на икономическите отношения с някои страни е довело до пълна преориентация на вноса в редица сегменти. В същото време, с изключение на фъстъците и кестени</w:t>
      </w:r>
      <w:r>
        <w:rPr>
          <w:rFonts w:ascii="Verdana" w:hAnsi="Verdana"/>
          <w:sz w:val="20"/>
          <w:szCs w:val="20"/>
          <w:lang w:val="bg-BG"/>
        </w:rPr>
        <w:t>те</w:t>
      </w:r>
      <w:r w:rsidRPr="00172238">
        <w:rPr>
          <w:rFonts w:ascii="Verdana" w:hAnsi="Verdana"/>
          <w:sz w:val="20"/>
          <w:szCs w:val="20"/>
          <w:lang w:val="bg-BG"/>
        </w:rPr>
        <w:t>, за последните три пълни години се наблюдава спад на вноса при всички видове ядки.</w:t>
      </w:r>
    </w:p>
    <w:p w:rsidR="005956DE" w:rsidRDefault="005956DE" w:rsidP="005956DE">
      <w:pPr>
        <w:pStyle w:val="a4"/>
        <w:spacing w:line="276" w:lineRule="auto"/>
        <w:ind w:firstLine="708"/>
        <w:jc w:val="both"/>
        <w:rPr>
          <w:rFonts w:ascii="Verdana" w:hAnsi="Verdana"/>
          <w:sz w:val="20"/>
          <w:szCs w:val="20"/>
          <w:lang w:val="bg-BG"/>
        </w:rPr>
      </w:pPr>
    </w:p>
    <w:p w:rsidR="005956DE" w:rsidRPr="00172238" w:rsidRDefault="005956DE" w:rsidP="005956DE">
      <w:pPr>
        <w:pStyle w:val="a4"/>
        <w:spacing w:line="276" w:lineRule="auto"/>
        <w:ind w:firstLine="708"/>
        <w:jc w:val="right"/>
        <w:rPr>
          <w:rFonts w:ascii="Verdana" w:hAnsi="Verdana"/>
          <w:sz w:val="20"/>
          <w:szCs w:val="20"/>
          <w:lang w:val="bg-BG"/>
        </w:rPr>
      </w:pPr>
      <w:hyperlink r:id="rId14" w:history="1">
        <w:r w:rsidRPr="00DD6164">
          <w:rPr>
            <w:rStyle w:val="a6"/>
            <w:rFonts w:ascii="Verdana" w:hAnsi="Verdana"/>
            <w:sz w:val="20"/>
            <w:szCs w:val="20"/>
            <w:lang w:val="bg-BG"/>
          </w:rPr>
          <w:t>http://www.foodmarket.spb.ru/</w:t>
        </w:r>
      </w:hyperlink>
      <w:r>
        <w:rPr>
          <w:rFonts w:ascii="Verdana" w:hAnsi="Verdana"/>
          <w:sz w:val="20"/>
          <w:szCs w:val="20"/>
          <w:lang w:val="bg-BG"/>
        </w:rPr>
        <w:t xml:space="preserve"> </w:t>
      </w:r>
    </w:p>
    <w:p w:rsidR="001B5CA0" w:rsidRPr="005956DE" w:rsidRDefault="001B5CA0">
      <w:pPr>
        <w:rPr>
          <w:lang w:val="bg-BG"/>
        </w:rPr>
      </w:pPr>
      <w:bookmarkStart w:id="0" w:name="_GoBack"/>
      <w:bookmarkEnd w:id="0"/>
    </w:p>
    <w:sectPr w:rsidR="001B5CA0" w:rsidRPr="00595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DE"/>
    <w:rsid w:val="001B5CA0"/>
    <w:rsid w:val="0059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6DE"/>
    <w:pPr>
      <w:ind w:left="720"/>
      <w:contextualSpacing/>
    </w:pPr>
  </w:style>
  <w:style w:type="paragraph" w:styleId="a4">
    <w:name w:val="No Spacing"/>
    <w:link w:val="a5"/>
    <w:uiPriority w:val="1"/>
    <w:qFormat/>
    <w:rsid w:val="005956DE"/>
    <w:pPr>
      <w:spacing w:after="0" w:line="240" w:lineRule="auto"/>
    </w:pPr>
  </w:style>
  <w:style w:type="character" w:styleId="a6">
    <w:name w:val="Hyperlink"/>
    <w:basedOn w:val="a0"/>
    <w:uiPriority w:val="99"/>
    <w:unhideWhenUsed/>
    <w:rsid w:val="005956DE"/>
    <w:rPr>
      <w:color w:val="0000FF" w:themeColor="hyperlink"/>
      <w:u w:val="single"/>
    </w:rPr>
  </w:style>
  <w:style w:type="character" w:customStyle="1" w:styleId="a5">
    <w:name w:val="Без интервала Знак"/>
    <w:basedOn w:val="a0"/>
    <w:link w:val="a4"/>
    <w:uiPriority w:val="1"/>
    <w:rsid w:val="005956DE"/>
  </w:style>
  <w:style w:type="table" w:customStyle="1" w:styleId="3-61">
    <w:name w:val="Средняя сетка 3 - Акцент 61"/>
    <w:basedOn w:val="a1"/>
    <w:next w:val="3-6"/>
    <w:uiPriority w:val="69"/>
    <w:rsid w:val="005956DE"/>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62">
    <w:name w:val="Средняя сетка 3 - Акцент 62"/>
    <w:basedOn w:val="a1"/>
    <w:next w:val="3-6"/>
    <w:uiPriority w:val="69"/>
    <w:rsid w:val="005956DE"/>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6">
    <w:name w:val="Medium Grid 3 Accent 6"/>
    <w:basedOn w:val="a1"/>
    <w:uiPriority w:val="69"/>
    <w:rsid w:val="005956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7">
    <w:name w:val="Balloon Text"/>
    <w:basedOn w:val="a"/>
    <w:link w:val="a8"/>
    <w:uiPriority w:val="99"/>
    <w:semiHidden/>
    <w:unhideWhenUsed/>
    <w:rsid w:val="005956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6DE"/>
    <w:pPr>
      <w:ind w:left="720"/>
      <w:contextualSpacing/>
    </w:pPr>
  </w:style>
  <w:style w:type="paragraph" w:styleId="a4">
    <w:name w:val="No Spacing"/>
    <w:link w:val="a5"/>
    <w:uiPriority w:val="1"/>
    <w:qFormat/>
    <w:rsid w:val="005956DE"/>
    <w:pPr>
      <w:spacing w:after="0" w:line="240" w:lineRule="auto"/>
    </w:pPr>
  </w:style>
  <w:style w:type="character" w:styleId="a6">
    <w:name w:val="Hyperlink"/>
    <w:basedOn w:val="a0"/>
    <w:uiPriority w:val="99"/>
    <w:unhideWhenUsed/>
    <w:rsid w:val="005956DE"/>
    <w:rPr>
      <w:color w:val="0000FF" w:themeColor="hyperlink"/>
      <w:u w:val="single"/>
    </w:rPr>
  </w:style>
  <w:style w:type="character" w:customStyle="1" w:styleId="a5">
    <w:name w:val="Без интервала Знак"/>
    <w:basedOn w:val="a0"/>
    <w:link w:val="a4"/>
    <w:uiPriority w:val="1"/>
    <w:rsid w:val="005956DE"/>
  </w:style>
  <w:style w:type="table" w:customStyle="1" w:styleId="3-61">
    <w:name w:val="Средняя сетка 3 - Акцент 61"/>
    <w:basedOn w:val="a1"/>
    <w:next w:val="3-6"/>
    <w:uiPriority w:val="69"/>
    <w:rsid w:val="005956DE"/>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62">
    <w:name w:val="Средняя сетка 3 - Акцент 62"/>
    <w:basedOn w:val="a1"/>
    <w:next w:val="3-6"/>
    <w:uiPriority w:val="69"/>
    <w:rsid w:val="005956DE"/>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6">
    <w:name w:val="Medium Grid 3 Accent 6"/>
    <w:basedOn w:val="a1"/>
    <w:uiPriority w:val="69"/>
    <w:rsid w:val="005956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7">
    <w:name w:val="Balloon Text"/>
    <w:basedOn w:val="a"/>
    <w:link w:val="a8"/>
    <w:uiPriority w:val="99"/>
    <w:semiHidden/>
    <w:unhideWhenUsed/>
    <w:rsid w:val="005956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hyperlink" Target="https://www.google.ru/url?sa=i&amp;rct=j&amp;q=&amp;esrc=s&amp;source=images&amp;cd=&amp;cad=rja&amp;uact=8&amp;ved=0ahUKEwiCrd_m3JDOAhWta5oKHfA-DboQjRwIBw&amp;url=http://vedofood.info/tag/%D1%81%D1%83%D1%85%D0%BE%D1%84%D1%80%D1%83%D0%BA%D1%82%D1%8B/&amp;psig=AFQjCNElxVT9lheZ67-ICbElcSRSLgG6tg&amp;ust=1469608595258299" TargetMode="Externa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foodmarket.spb.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1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111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111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111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111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111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8.346256197142024E-2"/>
          <c:y val="4.4057617797775277E-2"/>
          <c:w val="0.85270940604974643"/>
          <c:h val="0.53250718312021583"/>
        </c:manualLayout>
      </c:layout>
      <c:bar3DChart>
        <c:barDir val="col"/>
        <c:grouping val="clustered"/>
        <c:varyColors val="0"/>
        <c:ser>
          <c:idx val="0"/>
          <c:order val="0"/>
          <c:tx>
            <c:strRef>
              <c:f>Лист1!$B$1</c:f>
              <c:strCache>
                <c:ptCount val="1"/>
                <c:pt idx="0">
                  <c:v>Ряд 1</c:v>
                </c:pt>
              </c:strCache>
            </c:strRef>
          </c:tx>
          <c:invertIfNegative val="0"/>
          <c:dLbls>
            <c:dLbl>
              <c:idx val="3"/>
              <c:layout>
                <c:manualLayout>
                  <c:x val="0"/>
                  <c:y val="-2.2279353267214527E-2"/>
                </c:manualLayout>
              </c:layout>
              <c:showLegendKey val="0"/>
              <c:showVal val="1"/>
              <c:showCatName val="0"/>
              <c:showSerName val="0"/>
              <c:showPercent val="0"/>
              <c:showBubbleSize val="0"/>
            </c:dLbl>
            <c:dLbl>
              <c:idx val="4"/>
              <c:layout>
                <c:manualLayout>
                  <c:x val="-3.1676415686360585E-3"/>
                  <c:y val="-1.1139676633607263E-2"/>
                </c:manualLayout>
              </c:layout>
              <c:showLegendKey val="0"/>
              <c:showVal val="1"/>
              <c:showCatName val="0"/>
              <c:showSerName val="0"/>
              <c:showPercent val="0"/>
              <c:showBubbleSize val="0"/>
            </c:dLbl>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0"/>
          </c:dLbls>
          <c:cat>
            <c:strRef>
              <c:f>Лист1!$A$2:$A$6</c:f>
              <c:strCache>
                <c:ptCount val="5"/>
                <c:pt idx="0">
                  <c:v>2013</c:v>
                </c:pt>
                <c:pt idx="1">
                  <c:v>2014</c:v>
                </c:pt>
                <c:pt idx="2">
                  <c:v>2015</c:v>
                </c:pt>
                <c:pt idx="3">
                  <c:v>януари-февруари 2015</c:v>
                </c:pt>
                <c:pt idx="4">
                  <c:v> януари-февруари 2016</c:v>
                </c:pt>
              </c:strCache>
            </c:strRef>
          </c:cat>
          <c:val>
            <c:numRef>
              <c:f>Лист1!$B$2:$B$6</c:f>
              <c:numCache>
                <c:formatCode>General</c:formatCode>
                <c:ptCount val="5"/>
                <c:pt idx="0">
                  <c:v>6259</c:v>
                </c:pt>
                <c:pt idx="1">
                  <c:v>5435</c:v>
                </c:pt>
                <c:pt idx="2">
                  <c:v>4320</c:v>
                </c:pt>
                <c:pt idx="3">
                  <c:v>692</c:v>
                </c:pt>
                <c:pt idx="4">
                  <c:v>750</c:v>
                </c:pt>
              </c:numCache>
            </c:numRef>
          </c:val>
        </c:ser>
        <c:dLbls>
          <c:showLegendKey val="0"/>
          <c:showVal val="0"/>
          <c:showCatName val="0"/>
          <c:showSerName val="0"/>
          <c:showPercent val="0"/>
          <c:showBubbleSize val="0"/>
        </c:dLbls>
        <c:gapWidth val="150"/>
        <c:shape val="cone"/>
        <c:axId val="283464448"/>
        <c:axId val="283465984"/>
        <c:axId val="0"/>
      </c:bar3DChart>
      <c:catAx>
        <c:axId val="283464448"/>
        <c:scaling>
          <c:orientation val="minMax"/>
        </c:scaling>
        <c:delete val="0"/>
        <c:axPos val="b"/>
        <c:numFmt formatCode="General" sourceLinked="1"/>
        <c:majorTickMark val="out"/>
        <c:minorTickMark val="none"/>
        <c:tickLblPos val="nextTo"/>
        <c:crossAx val="283465984"/>
        <c:crosses val="autoZero"/>
        <c:auto val="1"/>
        <c:lblAlgn val="ctr"/>
        <c:lblOffset val="100"/>
        <c:noMultiLvlLbl val="0"/>
      </c:catAx>
      <c:valAx>
        <c:axId val="283465984"/>
        <c:scaling>
          <c:orientation val="minMax"/>
        </c:scaling>
        <c:delete val="0"/>
        <c:axPos val="l"/>
        <c:majorGridlines/>
        <c:numFmt formatCode="General" sourceLinked="1"/>
        <c:majorTickMark val="out"/>
        <c:minorTickMark val="none"/>
        <c:tickLblPos val="nextTo"/>
        <c:crossAx val="283464448"/>
        <c:crosses val="autoZero"/>
        <c:crossBetween val="between"/>
      </c:valAx>
    </c:plotArea>
    <c:plotVisOnly val="1"/>
    <c:dispBlanksAs val="gap"/>
    <c:showDLblsOverMax val="0"/>
  </c:chart>
  <c:spPr>
    <a:solidFill>
      <a:srgbClr val="1F497D">
        <a:lumMod val="20000"/>
        <a:lumOff val="80000"/>
      </a:srgb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979154683750171"/>
          <c:y val="0.18387603226425964"/>
          <c:w val="0.44922790901137361"/>
          <c:h val="0.51587301587301593"/>
        </c:manualLayout>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Лист1!$A$2:$A$11</c:f>
              <c:strCache>
                <c:ptCount val="10"/>
                <c:pt idx="0">
                  <c:v>Турция</c:v>
                </c:pt>
                <c:pt idx="1">
                  <c:v>Египет</c:v>
                </c:pt>
                <c:pt idx="2">
                  <c:v>Мароко</c:v>
                </c:pt>
                <c:pt idx="3">
                  <c:v>Южна Африка</c:v>
                </c:pt>
                <c:pt idx="4">
                  <c:v>Китай</c:v>
                </c:pt>
                <c:pt idx="5">
                  <c:v>Пакистан</c:v>
                </c:pt>
                <c:pt idx="6">
                  <c:v>Аржентина</c:v>
                </c:pt>
                <c:pt idx="7">
                  <c:v>Израел</c:v>
                </c:pt>
                <c:pt idx="8">
                  <c:v>Абхазия</c:v>
                </c:pt>
                <c:pt idx="9">
                  <c:v>Други</c:v>
                </c:pt>
              </c:strCache>
            </c:strRef>
          </c:cat>
          <c:val>
            <c:numRef>
              <c:f>Лист1!$B$2:$B$11</c:f>
              <c:numCache>
                <c:formatCode>0.0%</c:formatCode>
                <c:ptCount val="10"/>
                <c:pt idx="0">
                  <c:v>0.35499999999999998</c:v>
                </c:pt>
                <c:pt idx="1">
                  <c:v>0.16200000000000001</c:v>
                </c:pt>
                <c:pt idx="2">
                  <c:v>0.13200000000000001</c:v>
                </c:pt>
                <c:pt idx="3">
                  <c:v>9.9000000000000005E-2</c:v>
                </c:pt>
                <c:pt idx="4">
                  <c:v>8.7999999999999995E-2</c:v>
                </c:pt>
                <c:pt idx="5">
                  <c:v>6.7000000000000004E-2</c:v>
                </c:pt>
                <c:pt idx="6">
                  <c:v>3.9E-2</c:v>
                </c:pt>
                <c:pt idx="7">
                  <c:v>1.6E-2</c:v>
                </c:pt>
                <c:pt idx="8">
                  <c:v>1.4E-2</c:v>
                </c:pt>
                <c:pt idx="9">
                  <c:v>2.9000000000000001E-2</c:v>
                </c:pt>
              </c:numCache>
            </c:numRef>
          </c:val>
        </c:ser>
        <c:dLbls>
          <c:showLegendKey val="0"/>
          <c:showVal val="1"/>
          <c:showCatName val="0"/>
          <c:showSerName val="0"/>
          <c:showPercent val="0"/>
          <c:showBubbleSize val="0"/>
          <c:showLeaderLines val="1"/>
        </c:dLbls>
        <c:firstSliceAng val="0"/>
      </c:pieChart>
    </c:plotArea>
    <c:legend>
      <c:legendPos val="b"/>
      <c:layout>
        <c:manualLayout>
          <c:xMode val="edge"/>
          <c:yMode val="edge"/>
          <c:x val="0"/>
          <c:y val="0.72665001357588921"/>
          <c:w val="0.98412582558162598"/>
          <c:h val="0.27334998642411079"/>
        </c:manualLayout>
      </c:layout>
      <c:overlay val="0"/>
    </c:legend>
    <c:plotVisOnly val="1"/>
    <c:dispBlanksAs val="gap"/>
    <c:showDLblsOverMax val="0"/>
  </c:chart>
  <c:spPr>
    <a:solidFill>
      <a:srgbClr val="1F497D">
        <a:lumMod val="20000"/>
        <a:lumOff val="80000"/>
      </a:srgbClr>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092143678669382"/>
          <c:y val="0.14582677165354332"/>
          <c:w val="0.52626957444926126"/>
          <c:h val="0.42872304005477574"/>
        </c:manualLayout>
      </c:layout>
      <c:pieChart>
        <c:varyColors val="1"/>
        <c:ser>
          <c:idx val="0"/>
          <c:order val="0"/>
          <c:tx>
            <c:strRef>
              <c:f>Лист1!$B$1</c:f>
              <c:strCache>
                <c:ptCount val="1"/>
                <c:pt idx="0">
                  <c:v>Продажи</c:v>
                </c:pt>
              </c:strCache>
            </c:strRef>
          </c:tx>
          <c:dPt>
            <c:idx val="3"/>
            <c:bubble3D val="0"/>
            <c:explosion val="1"/>
          </c:dPt>
          <c:dLbls>
            <c:dLbl>
              <c:idx val="3"/>
              <c:layout>
                <c:manualLayout>
                  <c:x val="-2.2135830092498535E-2"/>
                  <c:y val="9.1773901460686057E-3"/>
                </c:manualLayout>
              </c:layout>
              <c:showLegendKey val="0"/>
              <c:showVal val="1"/>
              <c:showCatName val="0"/>
              <c:showSerName val="0"/>
              <c:showPercent val="0"/>
              <c:showBubbleSize val="0"/>
            </c:dLbl>
            <c:dLbl>
              <c:idx val="4"/>
              <c:layout>
                <c:manualLayout>
                  <c:x val="-1.6563228877097918E-2"/>
                  <c:y val="1.2392613500465199E-2"/>
                </c:manualLayout>
              </c:layout>
              <c:showLegendKey val="0"/>
              <c:showVal val="1"/>
              <c:showCatName val="0"/>
              <c:showSerName val="0"/>
              <c:showPercent val="0"/>
              <c:showBubbleSize val="0"/>
            </c:dLbl>
            <c:dLbl>
              <c:idx val="5"/>
              <c:layout>
                <c:manualLayout>
                  <c:x val="-2.1280923145831576E-2"/>
                  <c:y val="-1.3776167801050492E-2"/>
                </c:manualLayout>
              </c:layout>
              <c:showLegendKey val="0"/>
              <c:showVal val="1"/>
              <c:showCatName val="0"/>
              <c:showSerName val="0"/>
              <c:showPercent val="0"/>
              <c:showBubbleSize val="0"/>
            </c:dLbl>
            <c:dLbl>
              <c:idx val="7"/>
              <c:layout>
                <c:manualLayout>
                  <c:x val="-2.3332315640774565E-2"/>
                  <c:y val="-2.8104637035452039E-2"/>
                </c:manualLayout>
              </c:layout>
              <c:showLegendKey val="0"/>
              <c:showVal val="1"/>
              <c:showCatName val="0"/>
              <c:showSerName val="0"/>
              <c:showPercent val="0"/>
              <c:showBubbleSize val="0"/>
            </c:dLbl>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1"/>
          </c:dLbls>
          <c:cat>
            <c:strRef>
              <c:f>Лист1!$A$2:$A$9</c:f>
              <c:strCache>
                <c:ptCount val="8"/>
                <c:pt idx="0">
                  <c:v>Сърбия</c:v>
                </c:pt>
                <c:pt idx="1">
                  <c:v>Китай</c:v>
                </c:pt>
                <c:pt idx="2">
                  <c:v>Молдова</c:v>
                </c:pt>
                <c:pt idx="3">
                  <c:v>Азърбайджан</c:v>
                </c:pt>
                <c:pt idx="4">
                  <c:v>Чили</c:v>
                </c:pt>
                <c:pt idx="5">
                  <c:v>Бразилия</c:v>
                </c:pt>
                <c:pt idx="6">
                  <c:v>Македония</c:v>
                </c:pt>
                <c:pt idx="7">
                  <c:v>Други</c:v>
                </c:pt>
              </c:strCache>
            </c:strRef>
          </c:cat>
          <c:val>
            <c:numRef>
              <c:f>Лист1!$B$2:$B$9</c:f>
              <c:numCache>
                <c:formatCode>0.0%</c:formatCode>
                <c:ptCount val="8"/>
                <c:pt idx="0">
                  <c:v>0.33500000000000002</c:v>
                </c:pt>
                <c:pt idx="1">
                  <c:v>0.17799999999999999</c:v>
                </c:pt>
                <c:pt idx="2">
                  <c:v>0.09</c:v>
                </c:pt>
                <c:pt idx="3">
                  <c:v>7.8E-2</c:v>
                </c:pt>
                <c:pt idx="4">
                  <c:v>5.7000000000000002E-2</c:v>
                </c:pt>
                <c:pt idx="5">
                  <c:v>5.1999999999999998E-2</c:v>
                </c:pt>
                <c:pt idx="6">
                  <c:v>4.9000000000000002E-2</c:v>
                </c:pt>
                <c:pt idx="7">
                  <c:v>0.161</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2.9553215960364504E-2"/>
          <c:y val="0.64153503539330314"/>
          <c:w val="0.96336547819163054"/>
          <c:h val="0.16856592010666857"/>
        </c:manualLayout>
      </c:layout>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ru-RU"/>
        </a:p>
      </c:txPr>
    </c:legend>
    <c:plotVisOnly val="1"/>
    <c:dispBlanksAs val="gap"/>
    <c:showDLblsOverMax val="0"/>
  </c:chart>
  <c:spPr>
    <a:solidFill>
      <a:srgbClr val="1F497D">
        <a:lumMod val="20000"/>
        <a:lumOff val="80000"/>
      </a:srgbClr>
    </a:solid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465986118015967"/>
          <c:y val="0.15948120911305555"/>
          <c:w val="0.49151294619021729"/>
          <c:h val="0.58107947447223118"/>
        </c:manualLayout>
      </c:layout>
      <c:pieChart>
        <c:varyColors val="1"/>
        <c:ser>
          <c:idx val="0"/>
          <c:order val="0"/>
          <c:tx>
            <c:strRef>
              <c:f>Лист1!$B$1</c:f>
              <c:strCache>
                <c:ptCount val="1"/>
                <c:pt idx="0">
                  <c:v>Продажи</c:v>
                </c:pt>
              </c:strCache>
            </c:strRef>
          </c:tx>
          <c:dLbls>
            <c:dLbl>
              <c:idx val="2"/>
              <c:layout>
                <c:manualLayout>
                  <c:x val="-1.496040610406597E-2"/>
                  <c:y val="-3.2377910547201308E-2"/>
                </c:manualLayout>
              </c:layout>
              <c:showLegendKey val="0"/>
              <c:showVal val="1"/>
              <c:showCatName val="0"/>
              <c:showSerName val="0"/>
              <c:showPercent val="0"/>
              <c:showBubbleSize val="0"/>
            </c:dLbl>
            <c:dLbl>
              <c:idx val="3"/>
              <c:layout>
                <c:manualLayout>
                  <c:x val="-1.6834830604401801E-2"/>
                  <c:y val="-3.3231700727152057E-2"/>
                </c:manualLayout>
              </c:layout>
              <c:showLegendKey val="0"/>
              <c:showVal val="1"/>
              <c:showCatName val="0"/>
              <c:showSerName val="0"/>
              <c:showPercent val="0"/>
              <c:showBubbleSize val="0"/>
            </c:dLbl>
            <c:dLbl>
              <c:idx val="4"/>
              <c:layout>
                <c:manualLayout>
                  <c:x val="8.9495503377186536E-2"/>
                  <c:y val="-2.95508033765081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Афганистан</c:v>
                </c:pt>
                <c:pt idx="1">
                  <c:v>Иран</c:v>
                </c:pt>
                <c:pt idx="2">
                  <c:v>Чили</c:v>
                </c:pt>
                <c:pt idx="3">
                  <c:v>Турция</c:v>
                </c:pt>
                <c:pt idx="4">
                  <c:v>Други</c:v>
                </c:pt>
              </c:strCache>
            </c:strRef>
          </c:cat>
          <c:val>
            <c:numRef>
              <c:f>Лист1!$B$2:$B$6</c:f>
              <c:numCache>
                <c:formatCode>0.0%</c:formatCode>
                <c:ptCount val="5"/>
                <c:pt idx="0">
                  <c:v>0.40200000000000002</c:v>
                </c:pt>
                <c:pt idx="1">
                  <c:v>0.34599999999999997</c:v>
                </c:pt>
                <c:pt idx="2">
                  <c:v>0.11600000000000001</c:v>
                </c:pt>
                <c:pt idx="3">
                  <c:v>8.6999999999999994E-2</c:v>
                </c:pt>
                <c:pt idx="4">
                  <c:v>4.8000000000000001E-2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3.5894390319854086E-2"/>
          <c:y val="0.73454119944161089"/>
          <c:w val="0.92818963307329605"/>
          <c:h val="0.23607075202556205"/>
        </c:manualLayout>
      </c:layout>
      <c:overlay val="0"/>
    </c:legend>
    <c:plotVisOnly val="1"/>
    <c:dispBlanksAs val="gap"/>
    <c:showDLblsOverMax val="0"/>
  </c:chart>
  <c:spPr>
    <a:solidFill>
      <a:srgbClr val="1F497D">
        <a:lumMod val="20000"/>
        <a:lumOff val="80000"/>
      </a:srgbClr>
    </a:solid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79045476458298"/>
          <c:y val="9.7196413242166088E-2"/>
          <c:w val="0.55713130453287929"/>
          <c:h val="0.60040363886553016"/>
        </c:manualLayout>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Лист1!$A$2:$A$6</c:f>
              <c:strCache>
                <c:ptCount val="5"/>
                <c:pt idx="0">
                  <c:v>Аржентина</c:v>
                </c:pt>
                <c:pt idx="1">
                  <c:v>Чили</c:v>
                </c:pt>
                <c:pt idx="2">
                  <c:v>Молдова</c:v>
                </c:pt>
                <c:pt idx="3">
                  <c:v>Сърбия</c:v>
                </c:pt>
                <c:pt idx="4">
                  <c:v>Други</c:v>
                </c:pt>
              </c:strCache>
            </c:strRef>
          </c:cat>
          <c:val>
            <c:numRef>
              <c:f>Лист1!$B$2:$B$6</c:f>
              <c:numCache>
                <c:formatCode>0.0%</c:formatCode>
                <c:ptCount val="5"/>
                <c:pt idx="0">
                  <c:v>0.36299999999999999</c:v>
                </c:pt>
                <c:pt idx="1">
                  <c:v>0.36199999999999999</c:v>
                </c:pt>
                <c:pt idx="2">
                  <c:v>0.185</c:v>
                </c:pt>
                <c:pt idx="3">
                  <c:v>8.4000000000000005E-2</c:v>
                </c:pt>
                <c:pt idx="4">
                  <c:v>6.0000000000000001E-3</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6.4607126811851226E-2"/>
          <c:y val="0.7178727416354509"/>
          <c:w val="0.89479252964138789"/>
          <c:h val="0.24887852610656677"/>
        </c:manualLayout>
      </c:layout>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ru-RU"/>
        </a:p>
      </c:txPr>
    </c:legend>
    <c:plotVisOnly val="1"/>
    <c:dispBlanksAs val="gap"/>
    <c:showDLblsOverMax val="0"/>
  </c:chart>
  <c:spPr>
    <a:solidFill>
      <a:srgbClr val="1F497D">
        <a:lumMod val="20000"/>
        <a:lumOff val="80000"/>
      </a:srgbClr>
    </a:solid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03878681831436"/>
          <c:y val="0.10615079365079365"/>
          <c:w val="0.69748037000443097"/>
          <c:h val="0.53917626008718644"/>
        </c:manualLayout>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Лист1!$A$2:$A$6</c:f>
              <c:strCache>
                <c:ptCount val="5"/>
                <c:pt idx="0">
                  <c:v>Иран</c:v>
                </c:pt>
                <c:pt idx="1">
                  <c:v>Алжир</c:v>
                </c:pt>
                <c:pt idx="2">
                  <c:v>Тунис</c:v>
                </c:pt>
                <c:pt idx="3">
                  <c:v>Израел</c:v>
                </c:pt>
                <c:pt idx="4">
                  <c:v>Други</c:v>
                </c:pt>
              </c:strCache>
            </c:strRef>
          </c:cat>
          <c:val>
            <c:numRef>
              <c:f>Лист1!$B$2:$B$6</c:f>
              <c:numCache>
                <c:formatCode>0.0%</c:formatCode>
                <c:ptCount val="5"/>
                <c:pt idx="0">
                  <c:v>0.53500000000000003</c:v>
                </c:pt>
                <c:pt idx="1">
                  <c:v>0.23799999999999999</c:v>
                </c:pt>
                <c:pt idx="2">
                  <c:v>0.16200000000000001</c:v>
                </c:pt>
                <c:pt idx="3">
                  <c:v>5.3999999999999999E-2</c:v>
                </c:pt>
                <c:pt idx="4">
                  <c:v>1.0999999999999999E-2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11649468641594628"/>
          <c:y val="0.69821095383882192"/>
          <c:w val="0.84609512970556555"/>
          <c:h val="0.24747003304698598"/>
        </c:manualLayout>
      </c:layout>
      <c:overlay val="0"/>
    </c:legend>
    <c:plotVisOnly val="1"/>
    <c:dispBlanksAs val="gap"/>
    <c:showDLblsOverMax val="0"/>
  </c:chart>
  <c:spPr>
    <a:solidFill>
      <a:srgbClr val="1F497D">
        <a:lumMod val="20000"/>
        <a:lumOff val="80000"/>
      </a:srgbClr>
    </a:solid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15696996208807"/>
          <c:y val="0.22138513935758031"/>
          <c:w val="0.683389501312336"/>
          <c:h val="0.49141143430896639"/>
        </c:manualLayout>
      </c:layout>
      <c:pieChart>
        <c:varyColors val="1"/>
        <c:ser>
          <c:idx val="0"/>
          <c:order val="0"/>
          <c:tx>
            <c:strRef>
              <c:f>Лист1!$B$1</c:f>
              <c:strCache>
                <c:ptCount val="1"/>
                <c:pt idx="0">
                  <c:v>Продажи</c:v>
                </c:pt>
              </c:strCache>
            </c:strRef>
          </c:tx>
          <c:dLbls>
            <c:dLbl>
              <c:idx val="1"/>
              <c:layout>
                <c:manualLayout>
                  <c:x val="-5.6040912663905887E-3"/>
                  <c:y val="8.4240238241923785E-3"/>
                </c:manualLayout>
              </c:layout>
              <c:showLegendKey val="0"/>
              <c:showVal val="1"/>
              <c:showCatName val="0"/>
              <c:showSerName val="0"/>
              <c:showPercent val="0"/>
              <c:showBubbleSize val="0"/>
            </c:dLbl>
            <c:dLbl>
              <c:idx val="2"/>
              <c:layout>
                <c:manualLayout>
                  <c:x val="1.5401542680514394E-2"/>
                  <c:y val="-4.4788275104340532E-2"/>
                </c:manualLayout>
              </c:layout>
              <c:showLegendKey val="0"/>
              <c:showVal val="1"/>
              <c:showCatName val="0"/>
              <c:showSerName val="0"/>
              <c:showPercent val="0"/>
              <c:showBubbleSize val="0"/>
            </c:dLbl>
            <c:dLbl>
              <c:idx val="4"/>
              <c:layout>
                <c:manualLayout>
                  <c:x val="4.6404326771008295E-2"/>
                  <c:y val="6.5456200743317728E-3"/>
                </c:manualLayout>
              </c:layout>
              <c:showLegendKey val="0"/>
              <c:showVal val="1"/>
              <c:showCatName val="0"/>
              <c:showSerName val="0"/>
              <c:showPercent val="0"/>
              <c:showBubbleSize val="0"/>
            </c:dLbl>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1"/>
          </c:dLbls>
          <c:cat>
            <c:strRef>
              <c:f>Лист1!$A$2:$A$5</c:f>
              <c:strCache>
                <c:ptCount val="4"/>
                <c:pt idx="0">
                  <c:v>Турция</c:v>
                </c:pt>
                <c:pt idx="1">
                  <c:v>Таджикистан</c:v>
                </c:pt>
                <c:pt idx="2">
                  <c:v>Китай</c:v>
                </c:pt>
                <c:pt idx="3">
                  <c:v>Узбекистан</c:v>
                </c:pt>
              </c:strCache>
            </c:strRef>
          </c:cat>
          <c:val>
            <c:numRef>
              <c:f>Лист1!$B$2:$B$5</c:f>
              <c:numCache>
                <c:formatCode>0.0%</c:formatCode>
                <c:ptCount val="4"/>
                <c:pt idx="0">
                  <c:v>0.878</c:v>
                </c:pt>
                <c:pt idx="1">
                  <c:v>7.0000000000000007E-2</c:v>
                </c:pt>
                <c:pt idx="2">
                  <c:v>0.03</c:v>
                </c:pt>
                <c:pt idx="3">
                  <c:v>2.1999999999999999E-2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14463307086614174"/>
          <c:y val="0.74086599074444548"/>
          <c:w val="0.64347966043195315"/>
          <c:h val="0.23946442505497623"/>
        </c:manualLayout>
      </c:layout>
      <c:overlay val="0"/>
      <c:txPr>
        <a:bodyPr/>
        <a:lstStyle/>
        <a:p>
          <a:pPr>
            <a:defRPr sz="900">
              <a:latin typeface="Verdana" panose="020B0604030504040204" pitchFamily="34" charset="0"/>
              <a:ea typeface="Verdana" panose="020B0604030504040204" pitchFamily="34" charset="0"/>
              <a:cs typeface="Verdana" panose="020B0604030504040204" pitchFamily="34" charset="0"/>
            </a:defRPr>
          </a:pPr>
          <a:endParaRPr lang="ru-RU"/>
        </a:p>
      </c:txPr>
    </c:legend>
    <c:plotVisOnly val="1"/>
    <c:dispBlanksAs val="gap"/>
    <c:showDLblsOverMax val="0"/>
  </c:chart>
  <c:spPr>
    <a:solidFill>
      <a:srgbClr val="1F497D">
        <a:lumMod val="20000"/>
        <a:lumOff val="80000"/>
      </a:srgbClr>
    </a:solid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stenly</dc:creator>
  <cp:lastModifiedBy>stenly</cp:lastModifiedBy>
  <cp:revision>1</cp:revision>
  <dcterms:created xsi:type="dcterms:W3CDTF">2016-08-01T08:54:00Z</dcterms:created>
  <dcterms:modified xsi:type="dcterms:W3CDTF">2016-08-01T08:54:00Z</dcterms:modified>
</cp:coreProperties>
</file>