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1B5" w:rsidRPr="00F9366F" w:rsidRDefault="006A61B5" w:rsidP="00473C5B">
      <w:pPr>
        <w:jc w:val="center"/>
        <w:rPr>
          <w:rFonts w:ascii="Verdana" w:hAnsi="Verdana"/>
          <w:b/>
          <w:lang w:val="bg-BG"/>
        </w:rPr>
      </w:pPr>
      <w:bookmarkStart w:id="0" w:name="_GoBack"/>
      <w:r w:rsidRPr="00F9366F">
        <w:rPr>
          <w:rFonts w:ascii="Verdana" w:hAnsi="Verdana"/>
          <w:b/>
          <w:lang w:val="bg-BG"/>
        </w:rPr>
        <w:t xml:space="preserve">ИЗЦЕДИ </w:t>
      </w:r>
      <w:r w:rsidR="00F9366F">
        <w:rPr>
          <w:rFonts w:ascii="Verdana" w:hAnsi="Verdana"/>
          <w:b/>
          <w:lang w:val="bg-BG"/>
        </w:rPr>
        <w:t>–</w:t>
      </w:r>
      <w:r w:rsidRPr="00F9366F">
        <w:rPr>
          <w:rFonts w:ascii="Verdana" w:hAnsi="Verdana"/>
          <w:b/>
          <w:lang w:val="bg-BG"/>
        </w:rPr>
        <w:t xml:space="preserve"> ФИЛТРИРАЙ</w:t>
      </w:r>
    </w:p>
    <w:bookmarkEnd w:id="0"/>
    <w:p w:rsidR="00473C5B" w:rsidRPr="00473C5B" w:rsidRDefault="00473C5B" w:rsidP="006A61B5">
      <w:pPr>
        <w:jc w:val="both"/>
        <w:rPr>
          <w:rStyle w:val="hps"/>
          <w:rFonts w:ascii="Verdana" w:hAnsi="Verdana"/>
        </w:rPr>
      </w:pPr>
      <w:r w:rsidRPr="00F9366F">
        <w:rPr>
          <w:rFonts w:ascii="Verdana" w:hAnsi="Verdana"/>
          <w:b/>
          <w:lang w:val="bg-BG"/>
        </w:rPr>
        <w:t>Обзор на руския пазар на растителните масла</w:t>
      </w:r>
      <w:r w:rsidR="006A61B5" w:rsidRPr="00F9366F">
        <w:rPr>
          <w:rStyle w:val="hps"/>
          <w:rFonts w:ascii="Verdana" w:hAnsi="Verdana"/>
          <w:lang w:val="bg-BG"/>
        </w:rPr>
        <w:t xml:space="preserve"> </w:t>
      </w:r>
      <w:r w:rsidR="006A61B5" w:rsidRPr="00F9366F">
        <w:rPr>
          <w:rFonts w:ascii="Verdana" w:hAnsi="Verdana"/>
          <w:noProof/>
          <w:lang w:eastAsia="ru-RU"/>
        </w:rPr>
        <w:drawing>
          <wp:anchor distT="0" distB="0" distL="114300" distR="114300" simplePos="0" relativeHeight="251658240" behindDoc="1" locked="0" layoutInCell="1" allowOverlap="1" wp14:anchorId="3BCBABB9" wp14:editId="0F879DAB">
            <wp:simplePos x="0" y="0"/>
            <wp:positionH relativeFrom="column">
              <wp:posOffset>46355</wp:posOffset>
            </wp:positionH>
            <wp:positionV relativeFrom="paragraph">
              <wp:posOffset>-4445</wp:posOffset>
            </wp:positionV>
            <wp:extent cx="2309495" cy="1822450"/>
            <wp:effectExtent l="0" t="0" r="0" b="6350"/>
            <wp:wrapTight wrapText="bothSides">
              <wp:wrapPolygon edited="0">
                <wp:start x="0" y="0"/>
                <wp:lineTo x="0" y="21449"/>
                <wp:lineTo x="21380" y="21449"/>
                <wp:lineTo x="21380" y="0"/>
                <wp:lineTo x="0" y="0"/>
              </wp:wrapPolygon>
            </wp:wrapTight>
            <wp:docPr id="12" name="Рисунок 12" descr="http://zdoroviymir.com/images/articles/bc601c18b7632c7ee628859560320aa5/Ru.jpg">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2" name="Рисунок 12" descr="http://zdoroviymir.com/images/articles/bc601c18b7632c7ee628859560320aa5/Ru.jpg">
                      <a:hlinkClick r:id="rId5"/>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9495" cy="182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6A61B5" w:rsidRPr="00F9366F">
        <w:rPr>
          <w:rStyle w:val="hps"/>
          <w:rFonts w:ascii="Verdana" w:hAnsi="Verdana"/>
          <w:lang w:val="bg-BG"/>
        </w:rPr>
        <w:t xml:space="preserve">     </w:t>
      </w:r>
    </w:p>
    <w:p w:rsidR="006A61B5" w:rsidRPr="00F9366F" w:rsidRDefault="006A61B5" w:rsidP="006A61B5">
      <w:pPr>
        <w:jc w:val="both"/>
        <w:rPr>
          <w:rStyle w:val="hps"/>
          <w:rFonts w:ascii="Verdana" w:hAnsi="Verdana"/>
          <w:lang w:val="bg-BG"/>
        </w:rPr>
      </w:pPr>
      <w:r w:rsidRPr="00F9366F">
        <w:rPr>
          <w:rStyle w:val="hps"/>
          <w:rFonts w:ascii="Verdana" w:hAnsi="Verdana"/>
          <w:lang w:val="bg-BG"/>
        </w:rPr>
        <w:t>В Русия растителното масло е продукт от първа необходимост</w:t>
      </w:r>
      <w:r w:rsidRPr="00F9366F">
        <w:rPr>
          <w:rFonts w:ascii="Verdana" w:hAnsi="Verdana"/>
          <w:lang w:val="bg-BG"/>
        </w:rPr>
        <w:t xml:space="preserve">. </w:t>
      </w:r>
      <w:r w:rsidRPr="00F9366F">
        <w:rPr>
          <w:rStyle w:val="hps"/>
          <w:rFonts w:ascii="Verdana" w:hAnsi="Verdana"/>
          <w:lang w:val="bg-BG"/>
        </w:rPr>
        <w:t>Един от факторите за тази популярност е</w:t>
      </w:r>
      <w:r w:rsidRPr="00F9366F">
        <w:rPr>
          <w:rFonts w:ascii="Verdana" w:hAnsi="Verdana"/>
          <w:lang w:val="bg-BG"/>
        </w:rPr>
        <w:t xml:space="preserve"> съдържанието в тях на </w:t>
      </w:r>
      <w:r w:rsidRPr="00F9366F">
        <w:rPr>
          <w:rStyle w:val="hps"/>
          <w:rFonts w:ascii="Verdana" w:hAnsi="Verdana"/>
          <w:lang w:val="bg-BG"/>
        </w:rPr>
        <w:t>голям брой хранителни вещества и витамини</w:t>
      </w:r>
      <w:r w:rsidRPr="00F9366F">
        <w:rPr>
          <w:rFonts w:ascii="Verdana" w:hAnsi="Verdana"/>
          <w:lang w:val="bg-BG"/>
        </w:rPr>
        <w:t xml:space="preserve">. </w:t>
      </w:r>
      <w:r w:rsidRPr="00F9366F">
        <w:rPr>
          <w:rStyle w:val="hps"/>
          <w:rFonts w:ascii="Verdana" w:hAnsi="Verdana"/>
          <w:lang w:val="bg-BG"/>
        </w:rPr>
        <w:t>Най-голямо е търсенето на слънчогледово масло, което се е превърнало в традиционно още в началото на XIX век.</w:t>
      </w:r>
    </w:p>
    <w:p w:rsidR="00950908" w:rsidRPr="00F9366F" w:rsidRDefault="006A61B5" w:rsidP="006A61B5">
      <w:pPr>
        <w:rPr>
          <w:rStyle w:val="hps"/>
          <w:rFonts w:ascii="Verdana" w:hAnsi="Verdana"/>
        </w:rPr>
      </w:pPr>
      <w:r w:rsidRPr="00F9366F">
        <w:rPr>
          <w:rStyle w:val="hps"/>
          <w:rFonts w:ascii="Verdana" w:hAnsi="Verdana"/>
          <w:lang w:val="bg-BG"/>
        </w:rPr>
        <w:t xml:space="preserve">      Маслодайната индустрия в Русия е добре развита и това позволява на пазара на растителните масла да бъде един от най-</w:t>
      </w:r>
      <w:r w:rsidRPr="00F9366F">
        <w:rPr>
          <w:rFonts w:ascii="Verdana" w:hAnsi="Verdana"/>
          <w:lang w:val="bg-BG"/>
        </w:rPr>
        <w:t xml:space="preserve">обемните, наситени и </w:t>
      </w:r>
      <w:r w:rsidRPr="00F9366F">
        <w:rPr>
          <w:rStyle w:val="hps"/>
          <w:rFonts w:ascii="Verdana" w:hAnsi="Verdana"/>
          <w:lang w:val="bg-BG"/>
        </w:rPr>
        <w:t>конкурентни.</w:t>
      </w:r>
    </w:p>
    <w:p w:rsidR="006A61B5" w:rsidRPr="00F9366F" w:rsidRDefault="006A61B5" w:rsidP="006A61B5">
      <w:pPr>
        <w:spacing w:after="120"/>
        <w:ind w:firstLine="709"/>
        <w:jc w:val="both"/>
        <w:rPr>
          <w:rStyle w:val="hps"/>
          <w:rFonts w:ascii="Verdana" w:hAnsi="Verdana"/>
          <w:lang w:val="bg-BG"/>
        </w:rPr>
      </w:pPr>
      <w:r w:rsidRPr="00F9366F">
        <w:rPr>
          <w:rFonts w:ascii="Verdana" w:hAnsi="Verdana"/>
          <w:lang w:val="bg-BG"/>
        </w:rPr>
        <w:t xml:space="preserve">Отрасълът заема </w:t>
      </w:r>
      <w:r w:rsidRPr="00F9366F">
        <w:rPr>
          <w:rStyle w:val="hps"/>
          <w:rFonts w:ascii="Verdana" w:hAnsi="Verdana"/>
          <w:lang w:val="bg-BG"/>
        </w:rPr>
        <w:t>едно от водещите места в селскостопанския сектор. Основната суровина за производство на растителни масла са</w:t>
      </w:r>
      <w:r w:rsidRPr="00F9366F">
        <w:rPr>
          <w:rFonts w:ascii="Verdana" w:hAnsi="Verdana"/>
          <w:lang w:val="bg-BG"/>
        </w:rPr>
        <w:t xml:space="preserve"> костилките и </w:t>
      </w:r>
      <w:r w:rsidRPr="00F9366F">
        <w:rPr>
          <w:rStyle w:val="hps"/>
          <w:rFonts w:ascii="Verdana" w:hAnsi="Verdana"/>
          <w:lang w:val="bg-BG"/>
        </w:rPr>
        <w:t>семената на маслодайните растения</w:t>
      </w:r>
      <w:r w:rsidRPr="00F9366F">
        <w:rPr>
          <w:rFonts w:ascii="Verdana" w:hAnsi="Verdana"/>
          <w:lang w:val="bg-BG"/>
        </w:rPr>
        <w:t xml:space="preserve">. </w:t>
      </w:r>
      <w:r w:rsidRPr="00F9366F">
        <w:rPr>
          <w:rStyle w:val="hps"/>
          <w:rFonts w:ascii="Verdana" w:hAnsi="Verdana"/>
          <w:lang w:val="bg-BG"/>
        </w:rPr>
        <w:t>В Русия всяка година се увеличават площите с маслодайни култури - през 2013 г., общата посевна площ е била около 11 хиляди хектара</w:t>
      </w:r>
      <w:r w:rsidRPr="00F9366F">
        <w:rPr>
          <w:rFonts w:ascii="Verdana" w:hAnsi="Verdana"/>
          <w:lang w:val="bg-BG"/>
        </w:rPr>
        <w:t xml:space="preserve">. За </w:t>
      </w:r>
      <w:r w:rsidRPr="00F9366F">
        <w:rPr>
          <w:rStyle w:val="hps"/>
          <w:rFonts w:ascii="Verdana" w:hAnsi="Verdana"/>
          <w:lang w:val="bg-BG"/>
        </w:rPr>
        <w:t>отглеждане на слънчоглед се отделя повече от 65</w:t>
      </w:r>
      <w:r w:rsidRPr="00F9366F">
        <w:rPr>
          <w:rFonts w:ascii="Verdana" w:hAnsi="Verdana"/>
          <w:lang w:val="bg-BG"/>
        </w:rPr>
        <w:t xml:space="preserve">% от общата посевна </w:t>
      </w:r>
      <w:r w:rsidRPr="00F9366F">
        <w:rPr>
          <w:rStyle w:val="hps"/>
          <w:rFonts w:ascii="Verdana" w:hAnsi="Verdana"/>
          <w:lang w:val="bg-BG"/>
        </w:rPr>
        <w:t>площ.</w:t>
      </w:r>
    </w:p>
    <w:p w:rsidR="006A61B5" w:rsidRPr="00F9366F" w:rsidRDefault="006A61B5" w:rsidP="006A61B5">
      <w:pPr>
        <w:pStyle w:val="a5"/>
        <w:spacing w:after="120" w:line="276" w:lineRule="auto"/>
        <w:ind w:firstLine="709"/>
        <w:jc w:val="both"/>
        <w:rPr>
          <w:rFonts w:ascii="Verdana" w:eastAsia="Times New Roman" w:hAnsi="Verdana" w:cs="Times New Roman"/>
          <w:i/>
          <w:iCs/>
          <w:lang w:eastAsia="ru-RU"/>
        </w:rPr>
      </w:pPr>
      <w:r w:rsidRPr="00F9366F">
        <w:rPr>
          <w:rFonts w:ascii="Verdana" w:eastAsia="Times New Roman" w:hAnsi="Verdana" w:cs="Times New Roman"/>
          <w:lang w:val="bg-BG" w:eastAsia="ru-RU"/>
        </w:rPr>
        <w:t>Според анализаторите на GlobalReach Consulting (GRC), през последните четири години руския пазар на растителни масла показва уверен ръст, със среден годишен прираст от над 2%.</w:t>
      </w:r>
    </w:p>
    <w:p w:rsidR="006A61B5" w:rsidRPr="00F9366F" w:rsidRDefault="006A61B5" w:rsidP="006A61B5">
      <w:pPr>
        <w:spacing w:after="120"/>
        <w:ind w:firstLine="709"/>
        <w:jc w:val="both"/>
        <w:rPr>
          <w:rFonts w:ascii="Verdana" w:hAnsi="Verdana"/>
          <w:lang w:val="bg-BG"/>
        </w:rPr>
      </w:pPr>
      <w:r w:rsidRPr="00F9366F">
        <w:rPr>
          <w:rFonts w:ascii="Verdana" w:hAnsi="Verdana"/>
          <w:lang w:val="bg-BG"/>
        </w:rPr>
        <w:t xml:space="preserve">Като се има предвид вноса на растителни масла като цяло, може да се отбележи увеличение в обема с повече от 12% в реално изражение през 2013 г. Основният доставчик на растителни масла е Индонезия, тъй като тя доставя най-големи количества палмови и кокосови масла, които лидират в структурата на внос по видове суровини. </w:t>
      </w:r>
    </w:p>
    <w:p w:rsidR="006A61B5" w:rsidRPr="00F9366F" w:rsidRDefault="006A61B5" w:rsidP="006A61B5">
      <w:pPr>
        <w:spacing w:after="120"/>
        <w:ind w:firstLine="709"/>
        <w:jc w:val="both"/>
        <w:rPr>
          <w:rFonts w:ascii="Verdana" w:hAnsi="Verdana"/>
          <w:lang w:val="bg-BG"/>
        </w:rPr>
      </w:pPr>
      <w:r w:rsidRPr="00F9366F">
        <w:rPr>
          <w:rFonts w:ascii="Verdana" w:hAnsi="Verdana"/>
          <w:lang w:val="bg-BG"/>
        </w:rPr>
        <w:t>Както вече бе отбелязано, палмовото масло е с най-голям дял от вноса на масла – повече от 82%. Втори и трети по големина вносители на палмово масло след Индонезия са Малайзия и Холандия, които са намалили доставките си през 2013 г. съответно с 28 и 49%.</w:t>
      </w:r>
    </w:p>
    <w:p w:rsidR="006A61B5" w:rsidRPr="00F9366F" w:rsidRDefault="006A61B5" w:rsidP="006A61B5">
      <w:pPr>
        <w:spacing w:after="120"/>
        <w:ind w:firstLine="709"/>
        <w:jc w:val="both"/>
        <w:rPr>
          <w:rFonts w:ascii="Verdana" w:hAnsi="Verdana"/>
          <w:lang w:val="bg-BG"/>
        </w:rPr>
      </w:pPr>
      <w:r w:rsidRPr="00F9366F">
        <w:rPr>
          <w:rFonts w:ascii="Verdana" w:hAnsi="Verdana"/>
          <w:lang w:val="bg-BG"/>
        </w:rPr>
        <w:t>Обемът на износа на различни видове растителни масла в последните четири години нараства.</w:t>
      </w:r>
    </w:p>
    <w:p w:rsidR="006A61B5" w:rsidRPr="00F9366F" w:rsidRDefault="006A61B5" w:rsidP="006A61B5">
      <w:pPr>
        <w:spacing w:after="120"/>
        <w:ind w:firstLine="709"/>
        <w:jc w:val="both"/>
        <w:rPr>
          <w:rFonts w:ascii="Verdana" w:hAnsi="Verdana"/>
        </w:rPr>
      </w:pPr>
      <w:r w:rsidRPr="00F9366F">
        <w:rPr>
          <w:rFonts w:ascii="Verdana" w:hAnsi="Verdana"/>
        </w:rPr>
        <w:t xml:space="preserve">На </w:t>
      </w:r>
      <w:proofErr w:type="spellStart"/>
      <w:r w:rsidRPr="00F9366F">
        <w:rPr>
          <w:rFonts w:ascii="Verdana" w:hAnsi="Verdana"/>
        </w:rPr>
        <w:t>второ</w:t>
      </w:r>
      <w:proofErr w:type="spellEnd"/>
      <w:r w:rsidRPr="00F9366F">
        <w:rPr>
          <w:rFonts w:ascii="Verdana" w:hAnsi="Verdana"/>
        </w:rPr>
        <w:t xml:space="preserve"> </w:t>
      </w:r>
      <w:proofErr w:type="spellStart"/>
      <w:r w:rsidRPr="00F9366F">
        <w:rPr>
          <w:rFonts w:ascii="Verdana" w:hAnsi="Verdana"/>
        </w:rPr>
        <w:t>място</w:t>
      </w:r>
      <w:proofErr w:type="spellEnd"/>
      <w:r w:rsidRPr="00F9366F">
        <w:rPr>
          <w:rFonts w:ascii="Verdana" w:hAnsi="Verdana"/>
          <w:lang w:val="bg-BG"/>
        </w:rPr>
        <w:t xml:space="preserve"> се нарежда </w:t>
      </w:r>
      <w:proofErr w:type="spellStart"/>
      <w:r w:rsidRPr="00F9366F">
        <w:rPr>
          <w:rFonts w:ascii="Verdana" w:hAnsi="Verdana"/>
        </w:rPr>
        <w:t>рапичното</w:t>
      </w:r>
      <w:proofErr w:type="spellEnd"/>
      <w:r w:rsidRPr="00F9366F">
        <w:rPr>
          <w:rFonts w:ascii="Verdana" w:hAnsi="Verdana"/>
        </w:rPr>
        <w:t xml:space="preserve"> масло с </w:t>
      </w:r>
      <w:proofErr w:type="spellStart"/>
      <w:r w:rsidRPr="00F9366F">
        <w:rPr>
          <w:rFonts w:ascii="Verdana" w:hAnsi="Verdana"/>
        </w:rPr>
        <w:t>дял</w:t>
      </w:r>
      <w:proofErr w:type="spellEnd"/>
      <w:r w:rsidRPr="00F9366F">
        <w:rPr>
          <w:rFonts w:ascii="Verdana" w:hAnsi="Verdana"/>
        </w:rPr>
        <w:t xml:space="preserve"> от 17%.</w:t>
      </w:r>
    </w:p>
    <w:p w:rsidR="006A61B5" w:rsidRPr="00F9366F" w:rsidRDefault="006A61B5" w:rsidP="006A61B5">
      <w:pPr>
        <w:spacing w:after="120"/>
        <w:ind w:firstLine="709"/>
        <w:jc w:val="both"/>
        <w:rPr>
          <w:rFonts w:ascii="Verdana" w:hAnsi="Verdana"/>
          <w:lang w:val="bg-BG"/>
        </w:rPr>
      </w:pPr>
      <w:r w:rsidRPr="00F9366F">
        <w:rPr>
          <w:rFonts w:ascii="Verdana" w:hAnsi="Verdana"/>
          <w:lang w:val="bg-BG"/>
        </w:rPr>
        <w:t>Абсолютен лидер в износа на продукти е слънчогледовото масло – по резултатите за 2013 г., делът му в общия износ е 72% (виж фиг. 1).</w:t>
      </w:r>
    </w:p>
    <w:p w:rsidR="006A61B5" w:rsidRPr="00F9366F" w:rsidRDefault="006A61B5" w:rsidP="006A61B5">
      <w:pPr>
        <w:pStyle w:val="a5"/>
        <w:ind w:firstLine="708"/>
        <w:jc w:val="both"/>
        <w:rPr>
          <w:rStyle w:val="hps"/>
          <w:rFonts w:ascii="Verdana" w:hAnsi="Verdana"/>
        </w:rPr>
      </w:pPr>
      <w:r w:rsidRPr="00F9366F">
        <w:rPr>
          <w:rFonts w:ascii="Verdana" w:hAnsi="Verdana"/>
          <w:b/>
          <w:noProof/>
          <w:lang w:eastAsia="ru-RU"/>
        </w:rPr>
        <w:lastRenderedPageBreak/>
        <w:drawing>
          <wp:inline distT="0" distB="0" distL="0" distR="0" wp14:anchorId="7883001C" wp14:editId="54A8275C">
            <wp:extent cx="5273675" cy="1595120"/>
            <wp:effectExtent l="0" t="0" r="22225" b="5080"/>
            <wp:docPr id="4" name="Диаграмма 4" descr="слънчогледово&#10;рапсово&#10;соево&#10;други"/>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A61B5" w:rsidRPr="00F9366F" w:rsidRDefault="006A61B5" w:rsidP="006A61B5">
      <w:pPr>
        <w:pStyle w:val="a5"/>
        <w:spacing w:after="120" w:line="276" w:lineRule="auto"/>
        <w:ind w:firstLine="709"/>
        <w:jc w:val="both"/>
        <w:rPr>
          <w:rStyle w:val="hps"/>
          <w:rFonts w:ascii="Verdana" w:hAnsi="Verdana"/>
          <w:lang w:val="bg-BG"/>
        </w:rPr>
      </w:pPr>
      <w:r w:rsidRPr="00F9366F">
        <w:rPr>
          <w:rStyle w:val="hps"/>
          <w:rFonts w:ascii="Verdana" w:hAnsi="Verdana"/>
          <w:lang w:val="bg-BG"/>
        </w:rPr>
        <w:t>Разпределението на износа от страната до голяма степен зависи от вида на суровината</w:t>
      </w:r>
      <w:r w:rsidRPr="00F9366F">
        <w:rPr>
          <w:rFonts w:ascii="Verdana" w:hAnsi="Verdana"/>
          <w:lang w:val="bg-BG"/>
        </w:rPr>
        <w:t xml:space="preserve">. </w:t>
      </w:r>
      <w:r w:rsidRPr="00F9366F">
        <w:rPr>
          <w:rStyle w:val="hps"/>
          <w:rFonts w:ascii="Verdana" w:hAnsi="Verdana"/>
          <w:lang w:val="bg-BG"/>
        </w:rPr>
        <w:t>Така че, основните купувачи на руско слънчогледово масло са Турция и Египет, чиито дялове са съответно 28 и 15%. Рапица се търси основно от европейските страни, такива като Норвегия</w:t>
      </w:r>
      <w:r w:rsidRPr="00F9366F">
        <w:rPr>
          <w:rFonts w:ascii="Verdana" w:hAnsi="Verdana"/>
          <w:lang w:val="bg-BG"/>
        </w:rPr>
        <w:t xml:space="preserve">, Франция </w:t>
      </w:r>
      <w:r w:rsidRPr="00F9366F">
        <w:rPr>
          <w:rStyle w:val="hps"/>
          <w:rFonts w:ascii="Verdana" w:hAnsi="Verdana"/>
          <w:lang w:val="bg-BG"/>
        </w:rPr>
        <w:t>и Латвия</w:t>
      </w:r>
      <w:r w:rsidRPr="00F9366F">
        <w:rPr>
          <w:rFonts w:ascii="Verdana" w:hAnsi="Verdana"/>
          <w:lang w:val="bg-BG"/>
        </w:rPr>
        <w:t xml:space="preserve"> –</w:t>
      </w:r>
      <w:r w:rsidRPr="00F9366F">
        <w:rPr>
          <w:rStyle w:val="hps"/>
          <w:rFonts w:ascii="Verdana" w:hAnsi="Verdana"/>
          <w:lang w:val="bg-BG"/>
        </w:rPr>
        <w:t xml:space="preserve"> повече от 65% от общия износ на този вид масло. Около една трета от износа на соево масло</w:t>
      </w:r>
      <w:r w:rsidRPr="00F9366F">
        <w:rPr>
          <w:rFonts w:ascii="Verdana" w:hAnsi="Verdana"/>
          <w:lang w:val="bg-BG"/>
        </w:rPr>
        <w:t xml:space="preserve"> закупува </w:t>
      </w:r>
      <w:r w:rsidRPr="00F9366F">
        <w:rPr>
          <w:rStyle w:val="hps"/>
          <w:rFonts w:ascii="Verdana" w:hAnsi="Verdana"/>
          <w:lang w:val="bg-BG"/>
        </w:rPr>
        <w:t>Алжир.</w:t>
      </w:r>
      <w:r w:rsidRPr="00F9366F">
        <w:rPr>
          <w:rFonts w:ascii="Verdana" w:hAnsi="Verdana"/>
          <w:lang w:val="bg-BG"/>
        </w:rPr>
        <w:t xml:space="preserve"> Такава </w:t>
      </w:r>
      <w:r w:rsidRPr="00F9366F">
        <w:rPr>
          <w:rStyle w:val="hps"/>
          <w:rFonts w:ascii="Verdana" w:hAnsi="Verdana"/>
          <w:lang w:val="bg-BG"/>
        </w:rPr>
        <w:t>част от същия вид</w:t>
      </w:r>
      <w:r w:rsidRPr="00F9366F">
        <w:rPr>
          <w:rFonts w:ascii="Verdana" w:hAnsi="Verdana"/>
          <w:lang w:val="bg-BG"/>
        </w:rPr>
        <w:t xml:space="preserve"> масло се </w:t>
      </w:r>
      <w:r w:rsidRPr="00F9366F">
        <w:rPr>
          <w:rStyle w:val="hps"/>
          <w:rFonts w:ascii="Verdana" w:hAnsi="Verdana"/>
          <w:lang w:val="bg-BG"/>
        </w:rPr>
        <w:t>изнася и за Холандия, Франция и Великобритания.</w:t>
      </w:r>
    </w:p>
    <w:p w:rsidR="006A61B5" w:rsidRPr="00F9366F" w:rsidRDefault="006A61B5" w:rsidP="006A61B5">
      <w:pPr>
        <w:pStyle w:val="a5"/>
        <w:spacing w:after="120" w:line="276" w:lineRule="auto"/>
        <w:ind w:firstLine="709"/>
        <w:jc w:val="both"/>
        <w:rPr>
          <w:rFonts w:ascii="Verdana" w:hAnsi="Verdana"/>
        </w:rPr>
      </w:pPr>
      <w:r w:rsidRPr="00F9366F">
        <w:rPr>
          <w:rStyle w:val="hps"/>
          <w:rFonts w:ascii="Verdana" w:hAnsi="Verdana"/>
          <w:lang w:val="bg-BG"/>
        </w:rPr>
        <w:t>Освен сегментирането на маслата</w:t>
      </w:r>
      <w:r w:rsidRPr="00F9366F">
        <w:rPr>
          <w:rFonts w:ascii="Verdana" w:hAnsi="Verdana"/>
          <w:lang w:val="bg-BG"/>
        </w:rPr>
        <w:t xml:space="preserve"> по </w:t>
      </w:r>
      <w:r w:rsidRPr="00F9366F">
        <w:rPr>
          <w:rStyle w:val="hps"/>
          <w:rFonts w:ascii="Verdana" w:hAnsi="Verdana"/>
          <w:lang w:val="bg-BG"/>
        </w:rPr>
        <w:t>тип</w:t>
      </w:r>
      <w:r w:rsidRPr="00F9366F">
        <w:rPr>
          <w:rFonts w:ascii="Verdana" w:hAnsi="Verdana"/>
          <w:lang w:val="bg-BG"/>
        </w:rPr>
        <w:t xml:space="preserve"> на суровина, съществува сегментация по способ н</w:t>
      </w:r>
      <w:r w:rsidRPr="00F9366F">
        <w:rPr>
          <w:rStyle w:val="hps"/>
          <w:rFonts w:ascii="Verdana" w:hAnsi="Verdana"/>
          <w:lang w:val="bg-BG"/>
        </w:rPr>
        <w:t>а пречистване</w:t>
      </w:r>
      <w:r w:rsidRPr="00F9366F">
        <w:rPr>
          <w:rFonts w:ascii="Verdana" w:hAnsi="Verdana"/>
          <w:color w:val="C00000"/>
          <w:lang w:val="bg-BG"/>
        </w:rPr>
        <w:t xml:space="preserve">. </w:t>
      </w:r>
      <w:r w:rsidRPr="00F9366F">
        <w:rPr>
          <w:rFonts w:ascii="Verdana" w:hAnsi="Verdana"/>
          <w:lang w:val="bg-BG"/>
        </w:rPr>
        <w:t xml:space="preserve">Съществува нерафинирано, </w:t>
      </w:r>
      <w:r w:rsidRPr="00F9366F">
        <w:rPr>
          <w:rStyle w:val="hps"/>
          <w:rFonts w:ascii="Verdana" w:hAnsi="Verdana"/>
          <w:lang w:val="bg-BG"/>
        </w:rPr>
        <w:t>хидратирано</w:t>
      </w:r>
      <w:r w:rsidRPr="00F9366F">
        <w:rPr>
          <w:rFonts w:ascii="Verdana" w:hAnsi="Verdana"/>
          <w:lang w:val="bg-BG"/>
        </w:rPr>
        <w:t>, рафинирано</w:t>
      </w:r>
      <w:r w:rsidRPr="00F9366F">
        <w:rPr>
          <w:rStyle w:val="hps"/>
          <w:rFonts w:ascii="Verdana" w:hAnsi="Verdana"/>
          <w:lang w:val="bg-BG"/>
        </w:rPr>
        <w:t xml:space="preserve"> и дезодорирано масло.</w:t>
      </w:r>
      <w:r w:rsidRPr="00F9366F">
        <w:rPr>
          <w:rFonts w:ascii="Verdana" w:hAnsi="Verdana"/>
          <w:lang w:val="bg-BG"/>
        </w:rPr>
        <w:t xml:space="preserve"> По данни на </w:t>
      </w:r>
      <w:r w:rsidRPr="00F9366F">
        <w:rPr>
          <w:rStyle w:val="hps"/>
          <w:rFonts w:ascii="Verdana" w:hAnsi="Verdana"/>
          <w:lang w:val="bg-BG"/>
        </w:rPr>
        <w:t>Росстат голяма част</w:t>
      </w:r>
      <w:r w:rsidRPr="00F9366F">
        <w:rPr>
          <w:rFonts w:ascii="Verdana" w:hAnsi="Verdana"/>
          <w:lang w:val="bg-BG"/>
        </w:rPr>
        <w:t xml:space="preserve"> в производството </w:t>
      </w:r>
      <w:r w:rsidRPr="00F9366F">
        <w:rPr>
          <w:rStyle w:val="hps"/>
          <w:rFonts w:ascii="Verdana" w:hAnsi="Verdana"/>
          <w:lang w:val="bg-BG"/>
        </w:rPr>
        <w:t>принадлежи</w:t>
      </w:r>
      <w:r w:rsidRPr="00F9366F">
        <w:rPr>
          <w:rFonts w:ascii="Verdana" w:hAnsi="Verdana"/>
          <w:lang w:val="bg-BG"/>
        </w:rPr>
        <w:t xml:space="preserve"> на </w:t>
      </w:r>
      <w:r w:rsidRPr="00F9366F">
        <w:rPr>
          <w:rStyle w:val="hps"/>
          <w:rFonts w:ascii="Verdana" w:hAnsi="Verdana"/>
          <w:lang w:val="bg-BG"/>
        </w:rPr>
        <w:t>нерафинираното масло-около 67</w:t>
      </w:r>
      <w:r w:rsidRPr="00F9366F">
        <w:rPr>
          <w:rFonts w:ascii="Verdana" w:hAnsi="Verdana"/>
          <w:lang w:val="bg-BG"/>
        </w:rPr>
        <w:t xml:space="preserve">%. </w:t>
      </w:r>
      <w:r w:rsidRPr="00F9366F">
        <w:rPr>
          <w:rStyle w:val="hps"/>
          <w:rFonts w:ascii="Verdana" w:hAnsi="Verdana"/>
          <w:lang w:val="bg-BG"/>
        </w:rPr>
        <w:t>Този тип масло преминава само механична обработка</w:t>
      </w:r>
      <w:r w:rsidRPr="00F9366F">
        <w:rPr>
          <w:rFonts w:ascii="Verdana" w:hAnsi="Verdana"/>
          <w:lang w:val="bg-BG"/>
        </w:rPr>
        <w:t xml:space="preserve">, което позволява </w:t>
      </w:r>
      <w:r w:rsidRPr="00F9366F">
        <w:rPr>
          <w:rStyle w:val="hps"/>
          <w:rFonts w:ascii="Verdana" w:hAnsi="Verdana"/>
          <w:lang w:val="bg-BG"/>
        </w:rPr>
        <w:t>да се съхранят вкуса и миризмата</w:t>
      </w:r>
      <w:r w:rsidRPr="00F9366F">
        <w:rPr>
          <w:rFonts w:ascii="Verdana" w:hAnsi="Verdana"/>
          <w:lang w:val="bg-BG"/>
        </w:rPr>
        <w:t>.</w:t>
      </w:r>
    </w:p>
    <w:p w:rsidR="006A61B5" w:rsidRPr="00F9366F" w:rsidRDefault="006A61B5" w:rsidP="006A61B5">
      <w:pPr>
        <w:pStyle w:val="a5"/>
        <w:spacing w:after="120" w:line="276" w:lineRule="auto"/>
        <w:ind w:firstLine="709"/>
        <w:jc w:val="both"/>
        <w:rPr>
          <w:rFonts w:ascii="Verdana" w:eastAsia="Times New Roman" w:hAnsi="Verdana" w:cs="Times New Roman"/>
          <w:lang w:val="bg-BG" w:eastAsia="ru-RU"/>
        </w:rPr>
      </w:pPr>
      <w:r w:rsidRPr="00F9366F">
        <w:rPr>
          <w:rStyle w:val="hps"/>
          <w:rFonts w:ascii="Verdana" w:hAnsi="Verdana"/>
          <w:lang w:val="bg-BG"/>
        </w:rPr>
        <w:t>В структурата на нерафинирани масла</w:t>
      </w:r>
      <w:r w:rsidRPr="00F9366F">
        <w:rPr>
          <w:rFonts w:ascii="Verdana" w:hAnsi="Verdana"/>
          <w:lang w:val="bg-BG"/>
        </w:rPr>
        <w:t xml:space="preserve">, водещо е </w:t>
      </w:r>
      <w:r w:rsidRPr="00F9366F">
        <w:rPr>
          <w:rStyle w:val="hps"/>
          <w:rFonts w:ascii="Verdana" w:hAnsi="Verdana"/>
          <w:lang w:val="bg-BG"/>
        </w:rPr>
        <w:t>слънчогледовото масло</w:t>
      </w:r>
      <w:r w:rsidRPr="00F9366F">
        <w:rPr>
          <w:rFonts w:ascii="Verdana" w:hAnsi="Verdana"/>
          <w:lang w:val="bg-BG"/>
        </w:rPr>
        <w:t xml:space="preserve">, което представлява </w:t>
      </w:r>
      <w:r w:rsidRPr="00F9366F">
        <w:rPr>
          <w:rStyle w:val="hps"/>
          <w:rFonts w:ascii="Verdana" w:hAnsi="Verdana"/>
          <w:lang w:val="bg-BG"/>
        </w:rPr>
        <w:t>около 85</w:t>
      </w:r>
      <w:r w:rsidRPr="00F9366F">
        <w:rPr>
          <w:rFonts w:ascii="Verdana" w:hAnsi="Verdana"/>
          <w:lang w:val="bg-BG"/>
        </w:rPr>
        <w:t xml:space="preserve">% от производството </w:t>
      </w:r>
      <w:r w:rsidRPr="00F9366F">
        <w:rPr>
          <w:rStyle w:val="hps"/>
          <w:rFonts w:ascii="Verdana" w:hAnsi="Verdana"/>
          <w:lang w:val="bg-BG"/>
        </w:rPr>
        <w:t>на Русия.</w:t>
      </w:r>
    </w:p>
    <w:p w:rsidR="006A61B5" w:rsidRPr="00F9366F" w:rsidRDefault="006A61B5" w:rsidP="006A61B5">
      <w:pPr>
        <w:spacing w:after="120"/>
        <w:ind w:firstLine="709"/>
        <w:jc w:val="both"/>
        <w:rPr>
          <w:rStyle w:val="hps"/>
          <w:rFonts w:ascii="Verdana" w:hAnsi="Verdana"/>
        </w:rPr>
      </w:pPr>
      <w:r w:rsidRPr="00F9366F">
        <w:rPr>
          <w:rStyle w:val="hps"/>
          <w:rFonts w:ascii="Verdana" w:hAnsi="Verdana"/>
          <w:lang w:val="bg-BG"/>
        </w:rPr>
        <w:t>Най-популярно в Русия е слънчогледовото масло</w:t>
      </w:r>
      <w:r w:rsidRPr="00F9366F">
        <w:rPr>
          <w:rFonts w:ascii="Verdana" w:hAnsi="Verdana"/>
          <w:lang w:val="bg-BG"/>
        </w:rPr>
        <w:t xml:space="preserve"> без </w:t>
      </w:r>
      <w:r w:rsidRPr="00F9366F">
        <w:rPr>
          <w:rStyle w:val="hps"/>
          <w:rFonts w:ascii="Verdana" w:hAnsi="Verdana"/>
          <w:lang w:val="bg-BG"/>
        </w:rPr>
        <w:t>добавки</w:t>
      </w:r>
      <w:r w:rsidRPr="00F9366F">
        <w:rPr>
          <w:rFonts w:ascii="Verdana" w:hAnsi="Verdana"/>
          <w:lang w:val="bg-BG"/>
        </w:rPr>
        <w:t xml:space="preserve">, </w:t>
      </w:r>
      <w:r w:rsidRPr="00F9366F">
        <w:rPr>
          <w:rStyle w:val="hps"/>
          <w:rFonts w:ascii="Verdana" w:hAnsi="Verdana"/>
          <w:lang w:val="bg-BG"/>
        </w:rPr>
        <w:t>което може да се използва</w:t>
      </w:r>
      <w:r w:rsidRPr="00F9366F">
        <w:rPr>
          <w:rFonts w:ascii="Verdana" w:hAnsi="Verdana"/>
          <w:lang w:val="bg-BG"/>
        </w:rPr>
        <w:t xml:space="preserve"> на</w:t>
      </w:r>
      <w:r w:rsidRPr="00F9366F">
        <w:rPr>
          <w:rStyle w:val="hps"/>
          <w:rFonts w:ascii="Verdana" w:hAnsi="Verdana"/>
          <w:lang w:val="bg-BG"/>
        </w:rPr>
        <w:t xml:space="preserve"> всички етапи на готвене.</w:t>
      </w:r>
    </w:p>
    <w:p w:rsidR="006A61B5" w:rsidRPr="00F9366F" w:rsidRDefault="006A61B5" w:rsidP="006A61B5">
      <w:pPr>
        <w:spacing w:after="120"/>
        <w:ind w:firstLine="709"/>
        <w:jc w:val="both"/>
        <w:rPr>
          <w:rFonts w:ascii="Verdana" w:hAnsi="Verdana"/>
        </w:rPr>
      </w:pPr>
      <w:r w:rsidRPr="00F9366F">
        <w:rPr>
          <w:rFonts w:ascii="Verdana" w:hAnsi="Verdana"/>
          <w:lang w:val="bg-BG"/>
        </w:rPr>
        <w:t>В Русия набира популярност маслиновото масло (зехтин), но този вид масло в страната практически не се произвежда, и на вътрешния пазар са налице главно вносни продукти. Лидерството при вноса на маслиново масло принадлежи на Испания, Италия и Гърция, като общият дял е близо 92% от всички доставки на тези продукти.</w:t>
      </w:r>
    </w:p>
    <w:p w:rsidR="006A61B5" w:rsidRPr="00F9366F" w:rsidRDefault="006A61B5" w:rsidP="006A61B5">
      <w:pPr>
        <w:spacing w:after="120"/>
        <w:ind w:firstLine="709"/>
        <w:jc w:val="both"/>
        <w:rPr>
          <w:rFonts w:ascii="Verdana" w:hAnsi="Verdana"/>
          <w:lang w:val="bg-BG"/>
        </w:rPr>
      </w:pPr>
      <w:r w:rsidRPr="00F9366F">
        <w:rPr>
          <w:rStyle w:val="hps"/>
          <w:rFonts w:ascii="Verdana" w:hAnsi="Verdana"/>
          <w:lang w:val="bg-BG"/>
        </w:rPr>
        <w:t>Пазара на зехтин в Русия продължава да расте основно за</w:t>
      </w:r>
      <w:r w:rsidRPr="00F9366F">
        <w:rPr>
          <w:rFonts w:ascii="Verdana" w:hAnsi="Verdana"/>
          <w:lang w:val="bg-BG"/>
        </w:rPr>
        <w:t xml:space="preserve"> сметка на </w:t>
      </w:r>
      <w:r w:rsidRPr="00F9366F">
        <w:rPr>
          <w:rStyle w:val="hps"/>
          <w:rFonts w:ascii="Verdana" w:hAnsi="Verdana"/>
          <w:lang w:val="bg-BG"/>
        </w:rPr>
        <w:t>испанското производство</w:t>
      </w:r>
      <w:r w:rsidRPr="00F9366F">
        <w:rPr>
          <w:rFonts w:ascii="Verdana" w:hAnsi="Verdana"/>
          <w:lang w:val="bg-BG"/>
        </w:rPr>
        <w:t xml:space="preserve">, което е </w:t>
      </w:r>
      <w:r w:rsidRPr="00F9366F">
        <w:rPr>
          <w:rStyle w:val="hps"/>
          <w:rFonts w:ascii="Verdana" w:hAnsi="Verdana"/>
          <w:lang w:val="bg-BG"/>
        </w:rPr>
        <w:t>много по-евтино</w:t>
      </w:r>
      <w:r w:rsidRPr="00F9366F">
        <w:rPr>
          <w:rFonts w:ascii="Verdana" w:hAnsi="Verdana"/>
          <w:lang w:val="bg-BG"/>
        </w:rPr>
        <w:t xml:space="preserve">, отколкото </w:t>
      </w:r>
      <w:r w:rsidRPr="00F9366F">
        <w:rPr>
          <w:rStyle w:val="hps"/>
          <w:rFonts w:ascii="Verdana" w:hAnsi="Verdana"/>
          <w:lang w:val="bg-BG"/>
        </w:rPr>
        <w:t>италианското и гръцкото</w:t>
      </w:r>
      <w:r w:rsidRPr="00F9366F">
        <w:rPr>
          <w:rFonts w:ascii="Verdana" w:hAnsi="Verdana"/>
          <w:lang w:val="bg-BG"/>
        </w:rPr>
        <w:t xml:space="preserve">. В </w:t>
      </w:r>
      <w:r w:rsidRPr="00F9366F">
        <w:rPr>
          <w:rStyle w:val="hps"/>
          <w:rFonts w:ascii="Verdana" w:hAnsi="Verdana"/>
          <w:lang w:val="bg-BG"/>
        </w:rPr>
        <w:t>Русия все още няма висока култура на консумация на маслиново масло,</w:t>
      </w:r>
      <w:r w:rsidRPr="00F9366F">
        <w:rPr>
          <w:rFonts w:ascii="Verdana" w:hAnsi="Verdana"/>
          <w:lang w:val="bg-BG"/>
        </w:rPr>
        <w:t xml:space="preserve"> затова </w:t>
      </w:r>
      <w:r w:rsidRPr="00F9366F">
        <w:rPr>
          <w:rStyle w:val="hps"/>
          <w:rFonts w:ascii="Verdana" w:hAnsi="Verdana"/>
          <w:lang w:val="bg-BG"/>
        </w:rPr>
        <w:t>определящ</w:t>
      </w:r>
      <w:r w:rsidRPr="00F9366F">
        <w:rPr>
          <w:rFonts w:ascii="Verdana" w:hAnsi="Verdana"/>
          <w:lang w:val="bg-BG"/>
        </w:rPr>
        <w:t xml:space="preserve"> фактор </w:t>
      </w:r>
      <w:r w:rsidRPr="00F9366F">
        <w:rPr>
          <w:rStyle w:val="hps"/>
          <w:rFonts w:ascii="Verdana" w:hAnsi="Verdana"/>
          <w:lang w:val="bg-BG"/>
        </w:rPr>
        <w:t>при избора е цената.</w:t>
      </w:r>
      <w:r w:rsidRPr="00F9366F">
        <w:rPr>
          <w:rFonts w:ascii="Verdana" w:hAnsi="Verdana"/>
          <w:lang w:val="bg-BG"/>
        </w:rPr>
        <w:t xml:space="preserve"> За сега в</w:t>
      </w:r>
      <w:r w:rsidRPr="00F9366F">
        <w:rPr>
          <w:rStyle w:val="hps"/>
          <w:rFonts w:ascii="Verdana" w:hAnsi="Verdana"/>
          <w:lang w:val="bg-BG"/>
        </w:rPr>
        <w:t>носа от Испания заема около 60</w:t>
      </w:r>
      <w:r w:rsidRPr="00F9366F">
        <w:rPr>
          <w:rFonts w:ascii="Verdana" w:hAnsi="Verdana"/>
          <w:lang w:val="bg-BG"/>
        </w:rPr>
        <w:t xml:space="preserve">% от продажбите </w:t>
      </w:r>
      <w:r w:rsidRPr="00F9366F">
        <w:rPr>
          <w:rStyle w:val="hps"/>
          <w:rFonts w:ascii="Verdana" w:hAnsi="Verdana"/>
          <w:lang w:val="bg-BG"/>
        </w:rPr>
        <w:t>на дребно, но през 2014 г.,</w:t>
      </w:r>
      <w:r w:rsidRPr="00F9366F">
        <w:rPr>
          <w:rFonts w:ascii="Verdana" w:hAnsi="Verdana"/>
          <w:lang w:val="bg-BG"/>
        </w:rPr>
        <w:t xml:space="preserve"> този показател </w:t>
      </w:r>
      <w:r w:rsidRPr="00F9366F">
        <w:rPr>
          <w:rStyle w:val="hps"/>
          <w:rFonts w:ascii="Verdana" w:hAnsi="Verdana"/>
          <w:lang w:val="bg-BG"/>
        </w:rPr>
        <w:t>може да достигне 70-80</w:t>
      </w:r>
      <w:r w:rsidRPr="00F9366F">
        <w:rPr>
          <w:rFonts w:ascii="Verdana" w:hAnsi="Verdana"/>
          <w:lang w:val="bg-BG"/>
        </w:rPr>
        <w:t>%.</w:t>
      </w:r>
    </w:p>
    <w:p w:rsidR="006A61B5" w:rsidRPr="00F9366F" w:rsidRDefault="006A61B5" w:rsidP="006A61B5">
      <w:pPr>
        <w:spacing w:after="240" w:line="240" w:lineRule="auto"/>
        <w:ind w:firstLine="708"/>
        <w:rPr>
          <w:rStyle w:val="a4"/>
          <w:rFonts w:ascii="Verdana" w:hAnsi="Verdana"/>
        </w:rPr>
      </w:pPr>
      <w:r w:rsidRPr="00F9366F">
        <w:rPr>
          <w:rFonts w:ascii="Verdana" w:hAnsi="Verdana"/>
          <w:noProof/>
          <w:lang w:eastAsia="ru-RU"/>
        </w:rPr>
        <w:drawing>
          <wp:inline distT="0" distB="0" distL="0" distR="0" wp14:anchorId="75BBDEAE" wp14:editId="435AAA21">
            <wp:extent cx="4220845" cy="1637665"/>
            <wp:effectExtent l="0" t="0" r="8255" b="6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A61B5" w:rsidRPr="00F9366F" w:rsidRDefault="006A61B5" w:rsidP="006A61B5">
      <w:pPr>
        <w:pStyle w:val="a5"/>
        <w:spacing w:line="276" w:lineRule="auto"/>
        <w:ind w:firstLine="708"/>
        <w:jc w:val="both"/>
        <w:rPr>
          <w:rStyle w:val="a4"/>
          <w:rFonts w:ascii="Verdana" w:hAnsi="Verdana"/>
          <w:lang w:val="bg-BG"/>
        </w:rPr>
      </w:pPr>
      <w:r w:rsidRPr="00F9366F">
        <w:rPr>
          <w:rStyle w:val="a4"/>
          <w:rFonts w:ascii="Verdana" w:hAnsi="Verdana"/>
          <w:lang w:val="bg-BG"/>
        </w:rPr>
        <w:lastRenderedPageBreak/>
        <w:t xml:space="preserve">Присъствието на маслиново масло в търговията на дребно значително се увеличава. Това се дължи главно на факта, че руския пазар се счита за обемен и перспективен, и все повече и повече чуждестранни компании се опитват да внесат свои продукти, като бавно изместват пазара на слънчогледовото масло. По рафтовете на магазините вече се появяват продукти, които представляват смес от тези два вида масла. Цената на тези позиции в търговията на дребно е по-хуманна, защото като основа в тях е слънчогледовото масло и в този вид продуктът е по-лесно достъпен за потребителите. Също така, се предлагат варианти на по-евтин зехтин за пържене.Такива решения са начин за завладяване на купувачите, които са привърженици на слънчогледовото олио. </w:t>
      </w:r>
    </w:p>
    <w:p w:rsidR="006A61B5" w:rsidRPr="00F9366F" w:rsidRDefault="00473C5B" w:rsidP="006A61B5">
      <w:pPr>
        <w:pStyle w:val="a5"/>
        <w:jc w:val="right"/>
        <w:rPr>
          <w:rStyle w:val="a3"/>
          <w:rFonts w:ascii="Verdana" w:eastAsia="Times New Roman" w:hAnsi="Verdana" w:cs="Times New Roman"/>
          <w:lang w:eastAsia="ru-RU"/>
        </w:rPr>
      </w:pPr>
      <w:hyperlink r:id="rId9" w:history="1">
        <w:r w:rsidR="006A61B5" w:rsidRPr="00F9366F">
          <w:rPr>
            <w:rStyle w:val="a3"/>
            <w:rFonts w:ascii="Verdana" w:eastAsia="Times New Roman" w:hAnsi="Verdana" w:cs="Times New Roman"/>
            <w:lang w:val="bg-BG" w:eastAsia="ru-RU"/>
          </w:rPr>
          <w:t>http://www.foodmarket.spb.ru</w:t>
        </w:r>
      </w:hyperlink>
    </w:p>
    <w:p w:rsidR="006A61B5" w:rsidRPr="00F9366F" w:rsidRDefault="006A61B5" w:rsidP="006A61B5">
      <w:pPr>
        <w:rPr>
          <w:rFonts w:ascii="Verdana" w:hAnsi="Verdana"/>
          <w:lang w:val="en-US"/>
        </w:rPr>
      </w:pPr>
    </w:p>
    <w:sectPr w:rsidR="006A61B5" w:rsidRPr="00F936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87B"/>
    <w:rsid w:val="00014174"/>
    <w:rsid w:val="00017543"/>
    <w:rsid w:val="0009214D"/>
    <w:rsid w:val="000B6636"/>
    <w:rsid w:val="000C47D2"/>
    <w:rsid w:val="00113BBD"/>
    <w:rsid w:val="001302E3"/>
    <w:rsid w:val="00130AA0"/>
    <w:rsid w:val="00173000"/>
    <w:rsid w:val="001C19CA"/>
    <w:rsid w:val="00227C5E"/>
    <w:rsid w:val="00293949"/>
    <w:rsid w:val="002E0469"/>
    <w:rsid w:val="002E7011"/>
    <w:rsid w:val="002F3E1B"/>
    <w:rsid w:val="00302DAB"/>
    <w:rsid w:val="0033327F"/>
    <w:rsid w:val="00374240"/>
    <w:rsid w:val="003E35B3"/>
    <w:rsid w:val="00456EA3"/>
    <w:rsid w:val="00473C5B"/>
    <w:rsid w:val="004A0612"/>
    <w:rsid w:val="004D37E6"/>
    <w:rsid w:val="00537AAF"/>
    <w:rsid w:val="005649F0"/>
    <w:rsid w:val="00594D57"/>
    <w:rsid w:val="005A0D2C"/>
    <w:rsid w:val="005A5D85"/>
    <w:rsid w:val="005A75F2"/>
    <w:rsid w:val="00620BE3"/>
    <w:rsid w:val="00630D2B"/>
    <w:rsid w:val="00672B3C"/>
    <w:rsid w:val="006A61B5"/>
    <w:rsid w:val="006D23D9"/>
    <w:rsid w:val="00771C2D"/>
    <w:rsid w:val="007A0CC2"/>
    <w:rsid w:val="007D00A7"/>
    <w:rsid w:val="007F33D5"/>
    <w:rsid w:val="00823BBC"/>
    <w:rsid w:val="00852F75"/>
    <w:rsid w:val="00854AEB"/>
    <w:rsid w:val="008D6B45"/>
    <w:rsid w:val="009369A4"/>
    <w:rsid w:val="00950908"/>
    <w:rsid w:val="00954963"/>
    <w:rsid w:val="00980FFC"/>
    <w:rsid w:val="009A10F5"/>
    <w:rsid w:val="009D172A"/>
    <w:rsid w:val="00A22A08"/>
    <w:rsid w:val="00A36B8E"/>
    <w:rsid w:val="00A71713"/>
    <w:rsid w:val="00AB62E8"/>
    <w:rsid w:val="00AE30F4"/>
    <w:rsid w:val="00B249E2"/>
    <w:rsid w:val="00B405CE"/>
    <w:rsid w:val="00B65ECC"/>
    <w:rsid w:val="00BB21F4"/>
    <w:rsid w:val="00BE00C2"/>
    <w:rsid w:val="00C1651B"/>
    <w:rsid w:val="00C20E0B"/>
    <w:rsid w:val="00C27C6B"/>
    <w:rsid w:val="00C5022B"/>
    <w:rsid w:val="00C51708"/>
    <w:rsid w:val="00C75036"/>
    <w:rsid w:val="00D81AAF"/>
    <w:rsid w:val="00D967F6"/>
    <w:rsid w:val="00DD3DA8"/>
    <w:rsid w:val="00DF1739"/>
    <w:rsid w:val="00E31B6C"/>
    <w:rsid w:val="00E8114A"/>
    <w:rsid w:val="00EA2234"/>
    <w:rsid w:val="00EB3D49"/>
    <w:rsid w:val="00EC487B"/>
    <w:rsid w:val="00F04454"/>
    <w:rsid w:val="00F17325"/>
    <w:rsid w:val="00F31C02"/>
    <w:rsid w:val="00F42EA0"/>
    <w:rsid w:val="00F6564D"/>
    <w:rsid w:val="00F766CA"/>
    <w:rsid w:val="00F9366F"/>
    <w:rsid w:val="00FA2BC4"/>
    <w:rsid w:val="00FD02A7"/>
    <w:rsid w:val="00FF5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1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6A61B5"/>
  </w:style>
  <w:style w:type="character" w:styleId="a3">
    <w:name w:val="Hyperlink"/>
    <w:basedOn w:val="a0"/>
    <w:uiPriority w:val="99"/>
    <w:semiHidden/>
    <w:unhideWhenUsed/>
    <w:rsid w:val="006A61B5"/>
    <w:rPr>
      <w:color w:val="0000FF" w:themeColor="hyperlink"/>
      <w:u w:val="single"/>
    </w:rPr>
  </w:style>
  <w:style w:type="character" w:customStyle="1" w:styleId="a4">
    <w:name w:val="Без интервала Знак"/>
    <w:basedOn w:val="a0"/>
    <w:link w:val="a5"/>
    <w:uiPriority w:val="1"/>
    <w:locked/>
    <w:rsid w:val="006A61B5"/>
  </w:style>
  <w:style w:type="paragraph" w:styleId="a5">
    <w:name w:val="No Spacing"/>
    <w:link w:val="a4"/>
    <w:uiPriority w:val="1"/>
    <w:qFormat/>
    <w:rsid w:val="006A61B5"/>
    <w:pPr>
      <w:spacing w:after="0" w:line="240" w:lineRule="auto"/>
    </w:pPr>
  </w:style>
  <w:style w:type="paragraph" w:styleId="a6">
    <w:name w:val="Balloon Text"/>
    <w:basedOn w:val="a"/>
    <w:link w:val="a7"/>
    <w:uiPriority w:val="99"/>
    <w:semiHidden/>
    <w:unhideWhenUsed/>
    <w:rsid w:val="006A61B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61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1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6A61B5"/>
  </w:style>
  <w:style w:type="character" w:styleId="a3">
    <w:name w:val="Hyperlink"/>
    <w:basedOn w:val="a0"/>
    <w:uiPriority w:val="99"/>
    <w:semiHidden/>
    <w:unhideWhenUsed/>
    <w:rsid w:val="006A61B5"/>
    <w:rPr>
      <w:color w:val="0000FF" w:themeColor="hyperlink"/>
      <w:u w:val="single"/>
    </w:rPr>
  </w:style>
  <w:style w:type="character" w:customStyle="1" w:styleId="a4">
    <w:name w:val="Без интервала Знак"/>
    <w:basedOn w:val="a0"/>
    <w:link w:val="a5"/>
    <w:uiPriority w:val="1"/>
    <w:locked/>
    <w:rsid w:val="006A61B5"/>
  </w:style>
  <w:style w:type="paragraph" w:styleId="a5">
    <w:name w:val="No Spacing"/>
    <w:link w:val="a4"/>
    <w:uiPriority w:val="1"/>
    <w:qFormat/>
    <w:rsid w:val="006A61B5"/>
    <w:pPr>
      <w:spacing w:after="0" w:line="240" w:lineRule="auto"/>
    </w:pPr>
  </w:style>
  <w:style w:type="paragraph" w:styleId="a6">
    <w:name w:val="Balloon Text"/>
    <w:basedOn w:val="a"/>
    <w:link w:val="a7"/>
    <w:uiPriority w:val="99"/>
    <w:semiHidden/>
    <w:unhideWhenUsed/>
    <w:rsid w:val="006A61B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61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88915">
      <w:bodyDiv w:val="1"/>
      <w:marLeft w:val="0"/>
      <w:marRight w:val="0"/>
      <w:marTop w:val="0"/>
      <w:marBottom w:val="0"/>
      <w:divBdr>
        <w:top w:val="none" w:sz="0" w:space="0" w:color="auto"/>
        <w:left w:val="none" w:sz="0" w:space="0" w:color="auto"/>
        <w:bottom w:val="none" w:sz="0" w:space="0" w:color="auto"/>
        <w:right w:val="none" w:sz="0" w:space="0" w:color="auto"/>
      </w:divBdr>
    </w:div>
    <w:div w:id="7739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google.ru/url?sa=i&amp;rct=j&amp;q=&amp;esrc=s&amp;source=images&amp;cd=&amp;cad=rja&amp;uact=8&amp;docid=45yvErIZ-JIHBM&amp;tbnid=gTSrtYCqAISrrM:&amp;ved=0CAcQjRw&amp;url=http://zdoroviymir.com/library/file/cat/cid/lib/from/222/&amp;ei=hyElVKuIHomaygOsmIK4Cw&amp;bvm=bv.76247554,d.bGQ&amp;psig=AFQjCNGbPzfaGJvV-CUybIjn3uM5fPuOwg&amp;ust=141180560913762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odmarket.spb.ru"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sz="1000">
                <a:latin typeface="Verdana" panose="020B0604030504040204" pitchFamily="34" charset="0"/>
                <a:ea typeface="Verdana" panose="020B0604030504040204" pitchFamily="34" charset="0"/>
                <a:cs typeface="Verdana" panose="020B0604030504040204" pitchFamily="34" charset="0"/>
              </a:defRPr>
            </a:pPr>
            <a:r>
              <a:rPr lang="ru-RU" sz="1000">
                <a:latin typeface="Verdana" panose="020B0604030504040204" pitchFamily="34" charset="0"/>
                <a:ea typeface="Verdana" panose="020B0604030504040204" pitchFamily="34" charset="0"/>
                <a:cs typeface="Verdana" panose="020B0604030504040204" pitchFamily="34" charset="0"/>
              </a:rPr>
              <a:t>Експорт на растителни масла в %</a:t>
            </a:r>
          </a:p>
        </c:rich>
      </c:tx>
      <c:layout>
        <c:manualLayout>
          <c:xMode val="edge"/>
          <c:yMode val="edge"/>
          <c:x val="0.2653293835198689"/>
          <c:y val="0"/>
        </c:manualLayout>
      </c:layout>
      <c:overlay val="0"/>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3.8547864928521115E-2"/>
          <c:y val="0.20992605107708237"/>
          <c:w val="0.80967817507025786"/>
          <c:h val="0.78700440667494664"/>
        </c:manualLayout>
      </c:layout>
      <c:pie3DChart>
        <c:varyColors val="1"/>
        <c:ser>
          <c:idx val="0"/>
          <c:order val="0"/>
          <c:tx>
            <c:strRef>
              <c:f>Лист1!$B$1</c:f>
              <c:strCache>
                <c:ptCount val="1"/>
                <c:pt idx="0">
                  <c:v>Продажи</c:v>
                </c:pt>
              </c:strCache>
            </c:strRef>
          </c:tx>
          <c:explosion val="25"/>
          <c:dLbls>
            <c:showLegendKey val="0"/>
            <c:showVal val="1"/>
            <c:showCatName val="0"/>
            <c:showSerName val="0"/>
            <c:showPercent val="0"/>
            <c:showBubbleSize val="0"/>
            <c:showLeaderLines val="1"/>
          </c:dLbls>
          <c:cat>
            <c:strRef>
              <c:f>Лист1!$A$2:$A$5</c:f>
              <c:strCache>
                <c:ptCount val="4"/>
                <c:pt idx="0">
                  <c:v>Кв. 1</c:v>
                </c:pt>
                <c:pt idx="1">
                  <c:v>Кв. 2</c:v>
                </c:pt>
                <c:pt idx="2">
                  <c:v>Кв. 3</c:v>
                </c:pt>
                <c:pt idx="3">
                  <c:v>Кв. 4</c:v>
                </c:pt>
              </c:strCache>
            </c:strRef>
          </c:cat>
          <c:val>
            <c:numRef>
              <c:f>Лист1!$B$2:$B$5</c:f>
              <c:numCache>
                <c:formatCode>General</c:formatCode>
                <c:ptCount val="4"/>
                <c:pt idx="0">
                  <c:v>72.400000000000006</c:v>
                </c:pt>
                <c:pt idx="1">
                  <c:v>16.8</c:v>
                </c:pt>
                <c:pt idx="2">
                  <c:v>10.6</c:v>
                </c:pt>
                <c:pt idx="3">
                  <c:v>0.4</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59599903386309971"/>
          <c:y val="0.25300430329757806"/>
          <c:w val="8.9289308659330505E-2"/>
          <c:h val="0.57911652156370752"/>
        </c:manualLayout>
      </c:layout>
      <c:overlay val="0"/>
    </c:legend>
    <c:plotVisOnly val="1"/>
    <c:dispBlanksAs val="zero"/>
    <c:showDLblsOverMax val="0"/>
  </c:chart>
  <c:spPr>
    <a:solidFill>
      <a:schemeClr val="tx2">
        <a:lumMod val="20000"/>
        <a:lumOff val="80000"/>
      </a:schemeClr>
    </a:solidFill>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ru-RU" sz="1000">
                <a:latin typeface="Verdana" panose="020B0604030504040204" pitchFamily="34" charset="0"/>
                <a:ea typeface="Verdana" panose="020B0604030504040204" pitchFamily="34" charset="0"/>
                <a:cs typeface="Verdana" panose="020B0604030504040204" pitchFamily="34" charset="0"/>
              </a:rPr>
              <a:t>Структура на пазара на зехтина в Русия</a:t>
            </a:r>
          </a:p>
        </c:rich>
      </c:tx>
      <c:overlay val="0"/>
    </c:title>
    <c:autoTitleDeleted val="0"/>
    <c:plotArea>
      <c:layout>
        <c:manualLayout>
          <c:layoutTarget val="inner"/>
          <c:xMode val="edge"/>
          <c:yMode val="edge"/>
          <c:x val="3.1315495015746035E-2"/>
          <c:y val="0.19968469850359613"/>
          <c:w val="0.45825681744133329"/>
          <c:h val="0.80031530149640351"/>
        </c:manualLayout>
      </c:layout>
      <c:doughnutChart>
        <c:varyColors val="1"/>
        <c:ser>
          <c:idx val="0"/>
          <c:order val="0"/>
          <c:tx>
            <c:strRef>
              <c:f>Лист1!$B$1</c:f>
              <c:strCache>
                <c:ptCount val="1"/>
                <c:pt idx="0">
                  <c:v>Продажи</c:v>
                </c:pt>
              </c:strCache>
            </c:strRef>
          </c:tx>
          <c:dLbls>
            <c:dLbl>
              <c:idx val="3"/>
              <c:delete val="1"/>
            </c:dLbl>
            <c:showLegendKey val="0"/>
            <c:showVal val="1"/>
            <c:showCatName val="0"/>
            <c:showSerName val="0"/>
            <c:showPercent val="0"/>
            <c:showBubbleSize val="0"/>
            <c:showLeaderLines val="1"/>
          </c:dLbls>
          <c:cat>
            <c:strRef>
              <c:f>Лист1!$A$2:$A$5</c:f>
              <c:strCache>
                <c:ptCount val="3"/>
                <c:pt idx="0">
                  <c:v>Кв. 1</c:v>
                </c:pt>
                <c:pt idx="1">
                  <c:v>Кв. 2</c:v>
                </c:pt>
                <c:pt idx="2">
                  <c:v>Кв. 3</c:v>
                </c:pt>
              </c:strCache>
            </c:strRef>
          </c:cat>
          <c:val>
            <c:numRef>
              <c:f>Лист1!$B$2:$B$5</c:f>
              <c:numCache>
                <c:formatCode>General</c:formatCode>
                <c:ptCount val="4"/>
                <c:pt idx="0">
                  <c:v>58</c:v>
                </c:pt>
                <c:pt idx="1">
                  <c:v>27</c:v>
                </c:pt>
                <c:pt idx="2">
                  <c:v>15</c:v>
                </c:pt>
              </c:numCache>
            </c:numRef>
          </c:val>
        </c:ser>
        <c:dLbls>
          <c:showLegendKey val="0"/>
          <c:showVal val="0"/>
          <c:showCatName val="0"/>
          <c:showSerName val="0"/>
          <c:showPercent val="0"/>
          <c:showBubbleSize val="0"/>
          <c:showLeaderLines val="1"/>
        </c:dLbls>
        <c:firstSliceAng val="0"/>
        <c:holeSize val="50"/>
      </c:doughnutChart>
    </c:plotArea>
    <c:legend>
      <c:legendPos val="r"/>
      <c:legendEntry>
        <c:idx val="3"/>
        <c:delete val="1"/>
      </c:legendEntry>
      <c:layout>
        <c:manualLayout>
          <c:xMode val="edge"/>
          <c:yMode val="edge"/>
          <c:x val="0.55483174897911824"/>
          <c:y val="0.25998341116451396"/>
          <c:w val="0.10978662288273261"/>
          <c:h val="0.56062243796153677"/>
        </c:manualLayout>
      </c:layout>
      <c:overlay val="0"/>
    </c:legend>
    <c:plotVisOnly val="1"/>
    <c:dispBlanksAs val="zero"/>
    <c:showDLblsOverMax val="0"/>
  </c:chart>
  <c:spPr>
    <a:solidFill>
      <a:schemeClr val="tx2">
        <a:lumMod val="20000"/>
        <a:lumOff val="80000"/>
      </a:schemeClr>
    </a:solidFill>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0.69841</cdr:x>
      <cdr:y>0.3637</cdr:y>
    </cdr:from>
    <cdr:to>
      <cdr:x>0.8751</cdr:x>
      <cdr:y>0.48129</cdr:y>
    </cdr:to>
    <cdr:sp macro="" textlink="">
      <cdr:nvSpPr>
        <cdr:cNvPr id="2" name="Поле 1"/>
        <cdr:cNvSpPr txBox="1"/>
      </cdr:nvSpPr>
      <cdr:spPr>
        <a:xfrm xmlns:a="http://schemas.openxmlformats.org/drawingml/2006/main">
          <a:off x="3614468" y="749671"/>
          <a:ext cx="914400" cy="24236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0.72412</cdr:x>
      <cdr:y>0.37994</cdr:y>
    </cdr:from>
    <cdr:to>
      <cdr:x>0.90844</cdr:x>
      <cdr:y>0.52406</cdr:y>
    </cdr:to>
    <cdr:sp macro="" textlink="">
      <cdr:nvSpPr>
        <cdr:cNvPr id="3" name="Поле 2"/>
        <cdr:cNvSpPr txBox="1"/>
      </cdr:nvSpPr>
      <cdr:spPr>
        <a:xfrm xmlns:a="http://schemas.openxmlformats.org/drawingml/2006/main">
          <a:off x="3816929" y="602673"/>
          <a:ext cx="971582" cy="228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Рапично масло</a:t>
          </a:r>
        </a:p>
      </cdr:txBody>
    </cdr:sp>
  </cdr:relSizeAnchor>
  <cdr:relSizeAnchor xmlns:cdr="http://schemas.openxmlformats.org/drawingml/2006/chartDrawing">
    <cdr:from>
      <cdr:x>0.68508</cdr:x>
      <cdr:y>0.3637</cdr:y>
    </cdr:from>
    <cdr:to>
      <cdr:x>0.94678</cdr:x>
      <cdr:y>0.44781</cdr:y>
    </cdr:to>
    <cdr:sp macro="" textlink="">
      <cdr:nvSpPr>
        <cdr:cNvPr id="4" name="Поле 3"/>
        <cdr:cNvSpPr txBox="1"/>
      </cdr:nvSpPr>
      <cdr:spPr>
        <a:xfrm xmlns:a="http://schemas.openxmlformats.org/drawingml/2006/main">
          <a:off x="3545457" y="749671"/>
          <a:ext cx="1354348" cy="17335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0.72342</cdr:x>
      <cdr:y>0.41851</cdr:y>
    </cdr:from>
    <cdr:to>
      <cdr:x>0.9001</cdr:x>
      <cdr:y>0.86213</cdr:y>
    </cdr:to>
    <cdr:sp macro="" textlink="">
      <cdr:nvSpPr>
        <cdr:cNvPr id="5" name="Поле 4"/>
        <cdr:cNvSpPr txBox="1"/>
      </cdr:nvSpPr>
      <cdr:spPr>
        <a:xfrm xmlns:a="http://schemas.openxmlformats.org/drawingml/2006/main">
          <a:off x="3743864" y="862641"/>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0.72675</cdr:x>
      <cdr:y>0.54152</cdr:y>
    </cdr:from>
    <cdr:to>
      <cdr:x>0.92344</cdr:x>
      <cdr:y>0.70311</cdr:y>
    </cdr:to>
    <cdr:sp macro="" textlink="">
      <cdr:nvSpPr>
        <cdr:cNvPr id="6" name="Поле 5"/>
        <cdr:cNvSpPr txBox="1"/>
      </cdr:nvSpPr>
      <cdr:spPr>
        <a:xfrm xmlns:a="http://schemas.openxmlformats.org/drawingml/2006/main">
          <a:off x="3830782" y="858982"/>
          <a:ext cx="1036796" cy="2563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Соево масло</a:t>
          </a:r>
        </a:p>
      </cdr:txBody>
    </cdr:sp>
  </cdr:relSizeAnchor>
  <cdr:relSizeAnchor xmlns:cdr="http://schemas.openxmlformats.org/drawingml/2006/chartDrawing">
    <cdr:from>
      <cdr:x>0.73069</cdr:x>
      <cdr:y>0.68564</cdr:y>
    </cdr:from>
    <cdr:to>
      <cdr:x>0.8501</cdr:x>
      <cdr:y>0.82102</cdr:y>
    </cdr:to>
    <cdr:sp macro="" textlink="">
      <cdr:nvSpPr>
        <cdr:cNvPr id="7" name="Поле 6"/>
        <cdr:cNvSpPr txBox="1"/>
      </cdr:nvSpPr>
      <cdr:spPr>
        <a:xfrm xmlns:a="http://schemas.openxmlformats.org/drawingml/2006/main">
          <a:off x="3851564" y="1087582"/>
          <a:ext cx="629428" cy="2147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Други</a:t>
          </a:r>
        </a:p>
      </cdr:txBody>
    </cdr:sp>
  </cdr:relSizeAnchor>
  <cdr:relSizeAnchor xmlns:cdr="http://schemas.openxmlformats.org/drawingml/2006/chartDrawing">
    <cdr:from>
      <cdr:x>0.7228</cdr:x>
      <cdr:y>0.23018</cdr:y>
    </cdr:from>
    <cdr:to>
      <cdr:x>0.99936</cdr:x>
      <cdr:y>0.39096</cdr:y>
    </cdr:to>
    <cdr:sp macro="" textlink="">
      <cdr:nvSpPr>
        <cdr:cNvPr id="8" name="Поле 7"/>
        <cdr:cNvSpPr txBox="1"/>
      </cdr:nvSpPr>
      <cdr:spPr>
        <a:xfrm xmlns:a="http://schemas.openxmlformats.org/drawingml/2006/main">
          <a:off x="3810351" y="365145"/>
          <a:ext cx="1457939" cy="25505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Слънчогледово масло</a:t>
          </a:r>
        </a:p>
      </cdr:txBody>
    </cdr:sp>
  </cdr:relSizeAnchor>
  <cdr:relSizeAnchor xmlns:cdr="http://schemas.openxmlformats.org/drawingml/2006/chartDrawing">
    <cdr:from>
      <cdr:x>0.68508</cdr:x>
      <cdr:y>0.23018</cdr:y>
    </cdr:from>
    <cdr:to>
      <cdr:x>0.8751</cdr:x>
      <cdr:y>0.339</cdr:y>
    </cdr:to>
    <cdr:sp macro="" textlink="">
      <cdr:nvSpPr>
        <cdr:cNvPr id="9" name="Поле 8"/>
        <cdr:cNvSpPr txBox="1"/>
      </cdr:nvSpPr>
      <cdr:spPr>
        <a:xfrm xmlns:a="http://schemas.openxmlformats.org/drawingml/2006/main">
          <a:off x="3545457" y="474454"/>
          <a:ext cx="983411" cy="2242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drawings/drawing2.xml><?xml version="1.0" encoding="utf-8"?>
<c:userShapes xmlns:c="http://schemas.openxmlformats.org/drawingml/2006/chart">
  <cdr:relSizeAnchor xmlns:cdr="http://schemas.openxmlformats.org/drawingml/2006/chartDrawing">
    <cdr:from>
      <cdr:x>0.67411</cdr:x>
      <cdr:y>0.27137</cdr:y>
    </cdr:from>
    <cdr:to>
      <cdr:x>0.94561</cdr:x>
      <cdr:y>0.39155</cdr:y>
    </cdr:to>
    <cdr:sp macro="" textlink="">
      <cdr:nvSpPr>
        <cdr:cNvPr id="2" name="Поле 1"/>
        <cdr:cNvSpPr txBox="1"/>
      </cdr:nvSpPr>
      <cdr:spPr>
        <a:xfrm xmlns:a="http://schemas.openxmlformats.org/drawingml/2006/main">
          <a:off x="2906975" y="477673"/>
          <a:ext cx="1170776" cy="21153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a:t>Испания</a:t>
          </a:r>
        </a:p>
      </cdr:txBody>
    </cdr:sp>
  </cdr:relSizeAnchor>
  <cdr:relSizeAnchor xmlns:cdr="http://schemas.openxmlformats.org/drawingml/2006/chartDrawing">
    <cdr:from>
      <cdr:x>0.76866</cdr:x>
      <cdr:y>0.42857</cdr:y>
    </cdr:from>
    <cdr:to>
      <cdr:x>0.93532</cdr:x>
      <cdr:y>0.48188</cdr:y>
    </cdr:to>
    <cdr:sp macro="" textlink="">
      <cdr:nvSpPr>
        <cdr:cNvPr id="3" name="Поле 2"/>
        <cdr:cNvSpPr txBox="1"/>
      </cdr:nvSpPr>
      <cdr:spPr>
        <a:xfrm xmlns:a="http://schemas.openxmlformats.org/drawingml/2006/main">
          <a:off x="4217158" y="1371600"/>
          <a:ext cx="914400" cy="17059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0.67728</cdr:x>
      <cdr:y>0.46521</cdr:y>
    </cdr:from>
    <cdr:to>
      <cdr:x>0.88682</cdr:x>
      <cdr:y>0.56212</cdr:y>
    </cdr:to>
    <cdr:sp macro="" textlink="">
      <cdr:nvSpPr>
        <cdr:cNvPr id="4" name="Поле 3"/>
        <cdr:cNvSpPr txBox="1"/>
      </cdr:nvSpPr>
      <cdr:spPr>
        <a:xfrm xmlns:a="http://schemas.openxmlformats.org/drawingml/2006/main">
          <a:off x="2920622" y="818866"/>
          <a:ext cx="903600" cy="1705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a:t>Италия</a:t>
          </a:r>
        </a:p>
      </cdr:txBody>
    </cdr:sp>
  </cdr:relSizeAnchor>
  <cdr:relSizeAnchor xmlns:cdr="http://schemas.openxmlformats.org/drawingml/2006/chartDrawing">
    <cdr:from>
      <cdr:x>0.68361</cdr:x>
      <cdr:y>0.64353</cdr:y>
    </cdr:from>
    <cdr:to>
      <cdr:x>0.94403</cdr:x>
      <cdr:y>0.80636</cdr:y>
    </cdr:to>
    <cdr:sp macro="" textlink="">
      <cdr:nvSpPr>
        <cdr:cNvPr id="5" name="Поле 4"/>
        <cdr:cNvSpPr txBox="1"/>
      </cdr:nvSpPr>
      <cdr:spPr>
        <a:xfrm xmlns:a="http://schemas.openxmlformats.org/drawingml/2006/main">
          <a:off x="2947917" y="1132763"/>
          <a:ext cx="1123009" cy="28660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900"/>
            <a:t>Други страни</a:t>
          </a:r>
        </a:p>
      </cdr:txBody>
    </cdr:sp>
  </cdr:relSizeAnchor>
  <cdr:relSizeAnchor xmlns:cdr="http://schemas.openxmlformats.org/drawingml/2006/chartDrawing">
    <cdr:from>
      <cdr:x>0.6124</cdr:x>
      <cdr:y>0.48052</cdr:y>
    </cdr:from>
    <cdr:to>
      <cdr:x>0.83869</cdr:x>
      <cdr:y>0.60477</cdr:y>
    </cdr:to>
    <cdr:sp macro="" textlink="">
      <cdr:nvSpPr>
        <cdr:cNvPr id="6" name="Поле 5"/>
        <cdr:cNvSpPr txBox="1"/>
      </cdr:nvSpPr>
      <cdr:spPr>
        <a:xfrm xmlns:a="http://schemas.openxmlformats.org/drawingml/2006/main">
          <a:off x="2640842" y="845820"/>
          <a:ext cx="975815" cy="21870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0.60132</cdr:x>
      <cdr:y>0.48052</cdr:y>
    </cdr:from>
    <cdr:to>
      <cdr:x>0.82919</cdr:x>
      <cdr:y>0.62027</cdr:y>
    </cdr:to>
    <cdr:sp macro="" textlink="">
      <cdr:nvSpPr>
        <cdr:cNvPr id="7" name="Поле 6"/>
        <cdr:cNvSpPr txBox="1"/>
      </cdr:nvSpPr>
      <cdr:spPr>
        <a:xfrm xmlns:a="http://schemas.openxmlformats.org/drawingml/2006/main">
          <a:off x="2593075" y="845819"/>
          <a:ext cx="982639" cy="24600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0.59499</cdr:x>
      <cdr:y>0.47296</cdr:y>
    </cdr:from>
    <cdr:to>
      <cdr:x>0.69943</cdr:x>
      <cdr:y>0.58926</cdr:y>
    </cdr:to>
    <cdr:sp macro="" textlink="">
      <cdr:nvSpPr>
        <cdr:cNvPr id="8" name="Поле 7"/>
        <cdr:cNvSpPr txBox="1"/>
      </cdr:nvSpPr>
      <cdr:spPr>
        <a:xfrm xmlns:a="http://schemas.openxmlformats.org/drawingml/2006/main">
          <a:off x="2565779" y="832515"/>
          <a:ext cx="450376" cy="2047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673</Words>
  <Characters>3838</Characters>
  <Application>Microsoft Office Word</Application>
  <DocSecurity>0</DocSecurity>
  <Lines>31</Lines>
  <Paragraphs>9</Paragraphs>
  <ScaleCrop>false</ScaleCrop>
  <Company>Prive</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5</cp:revision>
  <dcterms:created xsi:type="dcterms:W3CDTF">2014-10-08T10:58:00Z</dcterms:created>
  <dcterms:modified xsi:type="dcterms:W3CDTF">2014-10-08T11:10:00Z</dcterms:modified>
</cp:coreProperties>
</file>