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5B" w:rsidRPr="00895990" w:rsidRDefault="00012C5B" w:rsidP="00012C5B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C369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EB3412" wp14:editId="2039A37B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247900" cy="1356995"/>
            <wp:effectExtent l="0" t="0" r="0" b="0"/>
            <wp:wrapSquare wrapText="bothSides"/>
            <wp:docPr id="19" name="Рисунок 19" descr="http://sharij.net/wp-content/uploads/2016/01/molochk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ij.net/wp-content/uploads/2016/01/molochk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AB">
        <w:rPr>
          <w:rFonts w:ascii="Verdana" w:eastAsia="Calibri" w:hAnsi="Verdana" w:cs="Times New Roman"/>
          <w:b/>
          <w:sz w:val="20"/>
          <w:szCs w:val="20"/>
          <w:lang w:val="bg-BG"/>
        </w:rPr>
        <w:t>ПРЕГЛЕД НА РУСКИЯ ПАЗАР НА МЛЕЧНИ ПРОДУКТИ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012C5B" w:rsidRPr="00C369A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C369AB">
        <w:rPr>
          <w:rFonts w:ascii="Verdana" w:eastAsia="Calibri" w:hAnsi="Verdana" w:cs="Times New Roman"/>
          <w:b/>
          <w:sz w:val="20"/>
          <w:szCs w:val="20"/>
          <w:lang w:val="bg-BG"/>
        </w:rPr>
        <w:t>Потребление и обеми на производство.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369AB">
        <w:rPr>
          <w:rFonts w:ascii="Verdana" w:eastAsia="Calibri" w:hAnsi="Verdana" w:cs="Times New Roman"/>
          <w:sz w:val="20"/>
          <w:szCs w:val="20"/>
          <w:lang w:val="bg-BG"/>
        </w:rPr>
        <w:t>Според последните налични статистически данни, потреблението на млечни продукти в Русия на глава от населението през 2014 г., възлиза на 244 килограма на човек, което е значително по-ниско (-37%) от показателите през 1990 г., когато е достигало до 387 кг.</w:t>
      </w:r>
    </w:p>
    <w:p w:rsidR="00012C5B" w:rsidRPr="00C369A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369AB">
        <w:rPr>
          <w:rFonts w:ascii="Verdana" w:eastAsia="Calibri" w:hAnsi="Verdana" w:cs="Times New Roman"/>
          <w:sz w:val="20"/>
          <w:szCs w:val="20"/>
          <w:lang w:val="bg-BG"/>
        </w:rPr>
        <w:t>През годините е настъпила значителна трансформация на хранителните навици на руснаците в резултат на появата на по-голямо разнообразие от хранителни продукти и тяхната широка достъпност. От друга страна, някои млечни продукти (особено кашкавала) за значителен брой руснаци остават недостъпни, което пречи на растежа на потреблението им.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369AB">
        <w:rPr>
          <w:rFonts w:ascii="Verdana" w:eastAsia="Calibri" w:hAnsi="Verdana" w:cs="Times New Roman"/>
          <w:sz w:val="20"/>
          <w:szCs w:val="20"/>
          <w:lang w:val="bg-BG"/>
        </w:rPr>
        <w:t>Що се отнася до динамиката на вътрешното производство на млечни продукти, то тя остава положителна: през 2015 г. в Русия е произведено 11 626 тона (изчислено в мляко), което е с 1,6% повече в сравнение с 2014 г.</w:t>
      </w:r>
    </w:p>
    <w:p w:rsidR="00012C5B" w:rsidRDefault="00012C5B" w:rsidP="00012C5B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012C5B" w:rsidRPr="00C369AB" w:rsidRDefault="00012C5B" w:rsidP="00012C5B">
      <w:pPr>
        <w:spacing w:after="0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C369AB">
        <w:rPr>
          <w:rFonts w:ascii="Verdana" w:eastAsia="Calibri" w:hAnsi="Verdana" w:cs="Times New Roman"/>
          <w:i/>
          <w:sz w:val="18"/>
          <w:szCs w:val="18"/>
          <w:lang w:val="bg-BG"/>
        </w:rPr>
        <w:t>Динамика на производството на млечни продукти в Русия</w:t>
      </w:r>
    </w:p>
    <w:p w:rsidR="00012C5B" w:rsidRDefault="00012C5B" w:rsidP="00012C5B">
      <w:pPr>
        <w:spacing w:after="0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>
        <w:rPr>
          <w:rFonts w:ascii="Verdana" w:eastAsia="Calibri" w:hAnsi="Verdana" w:cs="Times New Roman"/>
          <w:i/>
          <w:sz w:val="18"/>
          <w:szCs w:val="18"/>
          <w:lang w:val="bg-BG"/>
        </w:rPr>
        <w:t>за периода</w:t>
      </w:r>
      <w:r w:rsidRPr="00C369AB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2010-2015 г./хиляди тона, (изчислено в мляко)</w:t>
      </w:r>
    </w:p>
    <w:p w:rsidR="00012C5B" w:rsidRDefault="00012C5B" w:rsidP="00012C5B">
      <w:pPr>
        <w:spacing w:after="0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012C5B" w:rsidRDefault="00012C5B" w:rsidP="00012C5B">
      <w:pPr>
        <w:spacing w:after="0"/>
        <w:jc w:val="center"/>
        <w:rPr>
          <w:rFonts w:ascii="Verdana" w:eastAsia="Calibri" w:hAnsi="Verdana" w:cs="Times New Roman"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5E4172C9" wp14:editId="0FDD5F57">
            <wp:extent cx="3740150" cy="20955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2C5B" w:rsidRDefault="00012C5B" w:rsidP="00012C5B">
      <w:pPr>
        <w:spacing w:after="0"/>
        <w:jc w:val="center"/>
        <w:rPr>
          <w:rFonts w:ascii="Verdana" w:eastAsia="Calibri" w:hAnsi="Verdana" w:cs="Times New Roman"/>
          <w:sz w:val="18"/>
          <w:szCs w:val="18"/>
          <w:lang w:val="bg-BG"/>
        </w:rPr>
      </w:pPr>
    </w:p>
    <w:p w:rsidR="00012C5B" w:rsidRPr="00C369AB" w:rsidRDefault="00012C5B" w:rsidP="00012C5B">
      <w:pPr>
        <w:spacing w:after="0"/>
        <w:jc w:val="both"/>
        <w:rPr>
          <w:rFonts w:ascii="Verdana" w:eastAsia="Calibri" w:hAnsi="Verdana" w:cs="Times New Roman"/>
          <w:sz w:val="18"/>
          <w:szCs w:val="18"/>
          <w:lang w:val="bg-BG"/>
        </w:rPr>
      </w:pPr>
    </w:p>
    <w:p w:rsidR="00012C5B" w:rsidRPr="004B4C18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B4C18">
        <w:rPr>
          <w:rFonts w:ascii="Verdana" w:eastAsia="Calibri" w:hAnsi="Verdana" w:cs="Times New Roman"/>
          <w:sz w:val="20"/>
          <w:szCs w:val="20"/>
          <w:lang w:val="bg-BG"/>
        </w:rPr>
        <w:t xml:space="preserve">Ако се сравнят показателите </w:t>
      </w:r>
      <w:r>
        <w:rPr>
          <w:rFonts w:ascii="Verdana" w:eastAsia="Calibri" w:hAnsi="Verdana" w:cs="Times New Roman"/>
          <w:sz w:val="20"/>
          <w:szCs w:val="20"/>
          <w:lang w:val="bg-BG"/>
        </w:rPr>
        <w:t>от</w:t>
      </w:r>
      <w:r w:rsidRPr="004B4C18">
        <w:rPr>
          <w:rFonts w:ascii="Verdana" w:eastAsia="Calibri" w:hAnsi="Verdana" w:cs="Times New Roman"/>
          <w:sz w:val="20"/>
          <w:szCs w:val="20"/>
          <w:lang w:val="bg-BG"/>
        </w:rPr>
        <w:t xml:space="preserve"> 2010 г., то производството на млечни продукти се е увеличило с почти 3%.</w:t>
      </w:r>
    </w:p>
    <w:p w:rsidR="00012C5B" w:rsidRPr="004B4C18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B4C18">
        <w:rPr>
          <w:rFonts w:ascii="Verdana" w:eastAsia="Calibri" w:hAnsi="Verdana" w:cs="Times New Roman"/>
          <w:sz w:val="20"/>
          <w:szCs w:val="20"/>
          <w:lang w:val="bg-BG"/>
        </w:rPr>
        <w:t>Като цяло, руският пазар на млечни продукти изглежда стабилен, не се наблюдават резки колебания и има баланс между търсенето и предлагането.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B4C18">
        <w:rPr>
          <w:rFonts w:ascii="Verdana" w:eastAsia="Calibri" w:hAnsi="Verdana" w:cs="Times New Roman"/>
          <w:sz w:val="20"/>
          <w:szCs w:val="20"/>
          <w:lang w:val="bg-BG"/>
        </w:rPr>
        <w:t xml:space="preserve">Ограничаващ фактор </w:t>
      </w:r>
      <w:r w:rsidRPr="008000EF">
        <w:rPr>
          <w:rFonts w:ascii="Verdana" w:eastAsia="Calibri" w:hAnsi="Verdana" w:cs="Times New Roman"/>
          <w:sz w:val="20"/>
          <w:szCs w:val="20"/>
          <w:lang w:val="bg-BG"/>
        </w:rPr>
        <w:t xml:space="preserve">по отношение на повишение на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цените </w:t>
      </w:r>
      <w:r w:rsidRPr="004B4C18">
        <w:rPr>
          <w:rFonts w:ascii="Verdana" w:eastAsia="Calibri" w:hAnsi="Verdana" w:cs="Times New Roman"/>
          <w:sz w:val="20"/>
          <w:szCs w:val="20"/>
          <w:lang w:val="bg-BG"/>
        </w:rPr>
        <w:t>днес служи спада на покупателната способност на населението, което се дължи на спад в реалния доход. Силната страна на пазара в момента е оттеглянето на европейските производители от него, поради контра санкциите от страна на Русия, и увеличената привлекателност на руските стоки на външните пазари, поради обезценяването на рублата.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4B4C18">
        <w:rPr>
          <w:rFonts w:ascii="Verdana" w:eastAsia="Calibri" w:hAnsi="Verdana" w:cs="Times New Roman"/>
          <w:b/>
          <w:sz w:val="20"/>
          <w:szCs w:val="20"/>
          <w:lang w:val="bg-BG"/>
        </w:rPr>
        <w:t>Структура на пазара.</w:t>
      </w:r>
    </w:p>
    <w:p w:rsidR="00012C5B" w:rsidRPr="004B4C18" w:rsidRDefault="00012C5B" w:rsidP="00012C5B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012C5B" w:rsidRDefault="00012C5B" w:rsidP="00012C5B">
      <w:pPr>
        <w:spacing w:after="0" w:line="240" w:lineRule="auto"/>
        <w:jc w:val="center"/>
        <w:rPr>
          <w:rFonts w:ascii="Calibri" w:eastAsia="Calibri" w:hAnsi="Calibri" w:cs="Times New Roman"/>
          <w:lang w:val="bg-BG"/>
        </w:rPr>
      </w:pPr>
      <w:r>
        <w:rPr>
          <w:rFonts w:ascii="Verdana" w:eastAsia="Times New Roman" w:hAnsi="Verdana" w:cs="Times New Roman"/>
          <w:i/>
          <w:noProof/>
          <w:sz w:val="20"/>
          <w:szCs w:val="20"/>
          <w:lang w:eastAsia="ru-RU"/>
        </w:rPr>
        <w:lastRenderedPageBreak/>
        <w:drawing>
          <wp:inline distT="0" distB="0" distL="0" distR="0" wp14:anchorId="3A9F49AC" wp14:editId="0BDA26C0">
            <wp:extent cx="4787900" cy="2406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B57443">
        <w:rPr>
          <w:rFonts w:ascii="Verdana" w:eastAsia="Calibri" w:hAnsi="Verdana" w:cs="Times New Roman"/>
          <w:b/>
          <w:sz w:val="20"/>
          <w:szCs w:val="20"/>
          <w:lang w:val="bg-BG"/>
        </w:rPr>
        <w:t>Динамика на производството на основните сегменти.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57443">
        <w:rPr>
          <w:rFonts w:ascii="Verdana" w:eastAsia="Calibri" w:hAnsi="Verdana" w:cs="Times New Roman"/>
          <w:sz w:val="20"/>
          <w:szCs w:val="20"/>
          <w:lang w:val="bg-BG"/>
        </w:rPr>
        <w:t>Динамиката на производство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 xml:space="preserve"> на най-разпространените  видове млечни продукти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 xml:space="preserve"> има положителна тенденция, като особено "отличили се" са производителите на кашкавал и фирми доставчици на течна сметана.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57443">
        <w:rPr>
          <w:rFonts w:ascii="Verdana" w:eastAsia="Calibri" w:hAnsi="Verdana" w:cs="Times New Roman"/>
          <w:sz w:val="20"/>
          <w:szCs w:val="20"/>
          <w:lang w:val="bg-BG"/>
        </w:rPr>
        <w:t>Производителност на млечната промишленост през 2015 г. в сравнение с 2010 година: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 xml:space="preserve">мляко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през 2015 г. е произведено 5 378 000 тона (+ 10.5%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 xml:space="preserve">кефир (кисело-млечен продукт)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през 2015 г. е произведен 1 068 000 тона (+ 5,8%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йогурт – през 2015г. е произведен повече от 766 000 тона (+ 9,4% в сравнение с 2010г.);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сметана -  през 2015 г. е произведена 587 000 тона (+ 11,2%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кашкавал и кашкавалени изделия през 2015 г. са произведени 581 000 тона (+ 34.2%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извара - през 2015г. е произведена повече от 413 000 тона (+ 6.7% в сравнение с 2010г.);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сладолед и замразени десерти са произведени 375 000 тона (-3,1% в сравнение с 2010г.);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масло - през 2015 г. е произведено 261 000 тона (+ 26,1%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ряженка (кисело-млечен продукт) - през 2015 г. е произведено 217 000 тона (+ 4.3% в сравнение с 2010 г.);</w:t>
      </w:r>
    </w:p>
    <w:p w:rsidR="00012C5B" w:rsidRPr="00B57443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- </w:t>
      </w:r>
      <w:r w:rsidRPr="00B57443">
        <w:rPr>
          <w:rFonts w:ascii="Verdana" w:eastAsia="Calibri" w:hAnsi="Verdana" w:cs="Times New Roman"/>
          <w:sz w:val="20"/>
          <w:szCs w:val="20"/>
          <w:lang w:val="bg-BG"/>
        </w:rPr>
        <w:t>течна сметана е произведена 375 000 тона (55,1% в сравнение с 2010 г.).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57443">
        <w:rPr>
          <w:rFonts w:ascii="Verdana" w:eastAsia="Calibri" w:hAnsi="Verdana" w:cs="Times New Roman"/>
          <w:sz w:val="20"/>
          <w:szCs w:val="20"/>
          <w:lang w:val="bg-BG"/>
        </w:rPr>
        <w:t>От статистиката следва, че всички основни сегменти на млечната промишленост (с изключение на сладоледа и замразените десерти) показват ръст с диапазон от 4% до 55% в сравнение с 2010 година.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012C5B" w:rsidRPr="007B2BF5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b/>
          <w:sz w:val="20"/>
          <w:szCs w:val="20"/>
          <w:lang w:val="bg-BG"/>
        </w:rPr>
        <w:t>Външнотърговски стокообмен</w:t>
      </w:r>
      <w:r>
        <w:rPr>
          <w:rFonts w:ascii="Verdana" w:eastAsia="Calibri" w:hAnsi="Verdana" w:cs="Times New Roman"/>
          <w:sz w:val="20"/>
          <w:szCs w:val="20"/>
          <w:lang w:val="bg-BG"/>
        </w:rPr>
        <w:t>.</w:t>
      </w:r>
      <w:r w:rsidRPr="007B2BF5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t>След анализ на външнотърговския стокообмен на млечни продукти, може да се твърди със сигурност, че руските компании напълно задоволяват вътрешното търсене. В края на 2015 г., обемът на вноса на млечни продукти е бил 932 000 тона, докато вътрешното производство е достигнало 11 626 000 тона.</w:t>
      </w:r>
    </w:p>
    <w:p w:rsidR="00012C5B" w:rsidRPr="007B2BF5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t>Експортирани са до 169 000 тона млечни продукти. Следователно, в реално изражение, делът на вноса в руските магазини е не повече от 8%, като почти 91% от общия обем се пада на Беларус.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Вносът на млечни продукти през 2015 г. в реално изражение е намалял до показателите на 2013 г., на 28,1%. В парично изражение, спадът на пазара е достигнал 58,9%, което се дължи на обезценяването на рублата</w:t>
      </w:r>
      <w:r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t>Руските ответни икономически санкции, наложени в август 2014 г. срещу страните от ЕС, САЩ и няколко други страни, както и обезценяването на рублата довеждат не само до значителен спад на вноса на млечни продукти в страната, но и до закономерна смяна на основните търговски партньори. През 2013 г. страните от ЕС са заемали 32% от вноса на млечни продукти, а през 2015 г.  - 0.5%.</w:t>
      </w:r>
    </w:p>
    <w:p w:rsidR="00012C5B" w:rsidRPr="007B2BF5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t>Независимо от спада на вноса, износа от Русия през 2015 година, се е увеличил с 7,6% и е достигнал 169 000 тона. Руските млечни продукти се закупуват главно от съседните страни, като износа за Украйна от Русия през 2015 г. се е увеличил с повече от 3 пъти (до 28 000 тона), докато вносът в Русия за година е намалял с 24 пъти (от 72 000 до 3 000 тона).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2BF5">
        <w:rPr>
          <w:rFonts w:ascii="Verdana" w:eastAsia="Calibri" w:hAnsi="Verdana" w:cs="Times New Roman"/>
          <w:sz w:val="20"/>
          <w:szCs w:val="20"/>
          <w:lang w:val="bg-BG"/>
        </w:rPr>
        <w:t xml:space="preserve">Показателят за състоянието на външнотърговския стокообмен, търговското салдо остава отрицателно: според резултатите от 2015 г., то е в размер на  1 533 </w:t>
      </w:r>
      <w:r>
        <w:rPr>
          <w:rFonts w:ascii="Verdana" w:eastAsia="Calibri" w:hAnsi="Verdana" w:cs="Times New Roman"/>
          <w:sz w:val="20"/>
          <w:szCs w:val="20"/>
          <w:lang w:val="bg-BG"/>
        </w:rPr>
        <w:t>000</w:t>
      </w:r>
      <w:r w:rsidRPr="007B2BF5">
        <w:rPr>
          <w:rFonts w:ascii="Verdana" w:eastAsia="Calibri" w:hAnsi="Verdana" w:cs="Times New Roman"/>
          <w:sz w:val="20"/>
          <w:szCs w:val="20"/>
          <w:lang w:val="bg-BG"/>
        </w:rPr>
        <w:t xml:space="preserve"> долара.</w:t>
      </w: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012C5B" w:rsidRDefault="00012C5B" w:rsidP="00012C5B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165"/>
        <w:gridCol w:w="1164"/>
        <w:gridCol w:w="1613"/>
        <w:gridCol w:w="1223"/>
        <w:gridCol w:w="1164"/>
      </w:tblGrid>
      <w:tr w:rsidR="00012C5B" w:rsidRPr="007B2BF5" w:rsidTr="006C1D92">
        <w:trPr>
          <w:trHeight w:val="978"/>
          <w:jc w:val="center"/>
        </w:trPr>
        <w:tc>
          <w:tcPr>
            <w:tcW w:w="3632" w:type="dxa"/>
            <w:gridSpan w:val="3"/>
            <w:shd w:val="clear" w:color="auto" w:fill="8DB3E2" w:themeFill="text2" w:themeFillTint="66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Основни външнотърговски партньори на РФ за импорт на млечни продукти през 2015 г.</w:t>
            </w:r>
          </w:p>
        </w:tc>
        <w:tc>
          <w:tcPr>
            <w:tcW w:w="3932" w:type="dxa"/>
            <w:gridSpan w:val="3"/>
            <w:shd w:val="clear" w:color="auto" w:fill="8DB3E2" w:themeFill="text2" w:themeFillTint="66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Основни външнотърговски партньори на РФ за експорт на млечни продукти през 2015 г.</w:t>
            </w:r>
          </w:p>
        </w:tc>
      </w:tr>
      <w:tr w:rsidR="00012C5B" w:rsidRPr="007B2BF5" w:rsidTr="006C1D92">
        <w:trPr>
          <w:trHeight w:val="1377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Страна</w:t>
            </w:r>
          </w:p>
        </w:tc>
        <w:tc>
          <w:tcPr>
            <w:tcW w:w="1165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Обем на импорта, 2015 г./хил. тона</w:t>
            </w:r>
          </w:p>
        </w:tc>
        <w:tc>
          <w:tcPr>
            <w:tcW w:w="116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Дял в общия импорт, 2015 г./%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Страна</w:t>
            </w:r>
          </w:p>
        </w:tc>
        <w:tc>
          <w:tcPr>
            <w:tcW w:w="1220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Обем на експорта, 2015 г./хил. тона</w:t>
            </w:r>
          </w:p>
        </w:tc>
        <w:tc>
          <w:tcPr>
            <w:tcW w:w="116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val="bg-BG" w:eastAsia="ru-RU"/>
              </w:rPr>
              <w:t>Дял в общия експорт, 2015 г./%</w:t>
            </w:r>
          </w:p>
        </w:tc>
      </w:tr>
      <w:tr w:rsidR="00012C5B" w:rsidRPr="007B2BF5" w:rsidTr="006C1D92">
        <w:trPr>
          <w:trHeight w:val="442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Белорусия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846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90,8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Казахстан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68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40,5</w:t>
            </w:r>
          </w:p>
        </w:tc>
      </w:tr>
      <w:tr w:rsidR="00012C5B" w:rsidRPr="007B2BF5" w:rsidTr="006C1D92">
        <w:trPr>
          <w:trHeight w:val="442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Аржентина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19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2,1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Белорусия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30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17,4</w:t>
            </w:r>
          </w:p>
        </w:tc>
      </w:tr>
      <w:tr w:rsidR="00012C5B" w:rsidRPr="007B2BF5" w:rsidTr="006C1D92">
        <w:trPr>
          <w:trHeight w:val="433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Казахстан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15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1,6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Украйна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28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16,3</w:t>
            </w:r>
          </w:p>
        </w:tc>
      </w:tr>
      <w:tr w:rsidR="00012C5B" w:rsidRPr="007B2BF5" w:rsidTr="006C1D92">
        <w:trPr>
          <w:trHeight w:val="442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Уругвай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15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1,6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Азърбайджан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4,5</w:t>
            </w:r>
          </w:p>
        </w:tc>
      </w:tr>
      <w:tr w:rsidR="00012C5B" w:rsidRPr="007B2BF5" w:rsidTr="006C1D92">
        <w:trPr>
          <w:trHeight w:val="433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Сърбия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9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0,9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Абхазия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4,1</w:t>
            </w:r>
          </w:p>
        </w:tc>
      </w:tr>
      <w:tr w:rsidR="00012C5B" w:rsidRPr="007B2BF5" w:rsidTr="006C1D92">
        <w:trPr>
          <w:trHeight w:val="442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ЕС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0,5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</w:tr>
      <w:tr w:rsidR="00012C5B" w:rsidRPr="007B2BF5" w:rsidTr="006C1D92">
        <w:trPr>
          <w:trHeight w:val="166"/>
          <w:jc w:val="center"/>
        </w:trPr>
        <w:tc>
          <w:tcPr>
            <w:tcW w:w="1304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Общо:</w:t>
            </w:r>
          </w:p>
        </w:tc>
        <w:tc>
          <w:tcPr>
            <w:tcW w:w="1165" w:type="dxa"/>
            <w:vAlign w:val="bottom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932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100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Общо:</w:t>
            </w:r>
          </w:p>
        </w:tc>
        <w:tc>
          <w:tcPr>
            <w:tcW w:w="1220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169</w:t>
            </w:r>
          </w:p>
        </w:tc>
        <w:tc>
          <w:tcPr>
            <w:tcW w:w="1164" w:type="dxa"/>
            <w:vAlign w:val="center"/>
          </w:tcPr>
          <w:p w:rsidR="00012C5B" w:rsidRPr="007B2BF5" w:rsidRDefault="00012C5B" w:rsidP="006C1D92">
            <w:pPr>
              <w:spacing w:after="200" w:line="312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7B2BF5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100</w:t>
            </w:r>
          </w:p>
        </w:tc>
      </w:tr>
    </w:tbl>
    <w:p w:rsidR="00012C5B" w:rsidRPr="00B57443" w:rsidRDefault="00012C5B" w:rsidP="00012C5B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</w:p>
    <w:p w:rsidR="00012C5B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012C5B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Курса на рублата и доброто качество на доставяните стоки правят руските продукти привлекателни в очите на потенциалните клиенти от други страни, но високата конкуренция за сега не позволява на местните компании да излязат на международните пазари.</w:t>
      </w:r>
    </w:p>
    <w:p w:rsidR="00012C5B" w:rsidRDefault="00012C5B" w:rsidP="00012C5B">
      <w:pPr>
        <w:pStyle w:val="a4"/>
        <w:spacing w:line="276" w:lineRule="auto"/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b/>
          <w:sz w:val="20"/>
          <w:szCs w:val="20"/>
          <w:lang w:val="bg-BG"/>
        </w:rPr>
      </w:pPr>
      <w:r w:rsidRPr="000D2A74">
        <w:rPr>
          <w:rFonts w:ascii="Verdana" w:hAnsi="Verdana"/>
          <w:b/>
          <w:sz w:val="20"/>
          <w:szCs w:val="20"/>
          <w:lang w:val="bg-BG"/>
        </w:rPr>
        <w:t>Цени.</w:t>
      </w:r>
    </w:p>
    <w:p w:rsidR="00012C5B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lastRenderedPageBreak/>
        <w:t>Ако се разглеждат средните цени на дребно на млечните продукти, може да се проследи  стабилизиране на тяхната динамика, след значителният ръст в края на 2014 г. - началото на 2015 г.</w:t>
      </w:r>
    </w:p>
    <w:p w:rsidR="00012C5B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Среден ръст на цените през януари 2016 г., в сравнение с януари 2015 г.: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кашкавал - с 1,1% (до 421 рубли за килограм);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масло - с 7,2% (до 400 рубли за килограм);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сладолед - с 18,1% (до 329 рубли за килограм);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извара - с 8.2% (до 275 рубли за килограм);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сметана - с 8.3% (до 172 рубли за килограм);</w:t>
      </w:r>
    </w:p>
    <w:p w:rsidR="00012C5B" w:rsidRPr="000D2A74" w:rsidRDefault="00012C5B" w:rsidP="00012C5B">
      <w:pPr>
        <w:pStyle w:val="a4"/>
        <w:spacing w:line="276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0D2A74">
        <w:rPr>
          <w:rFonts w:ascii="Verdana" w:hAnsi="Verdana"/>
          <w:sz w:val="20"/>
          <w:szCs w:val="20"/>
          <w:lang w:val="bg-BG"/>
        </w:rPr>
        <w:t>мляко - с 5.8% (до 64 рубли за литър).</w:t>
      </w: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Ограничаващ фактор за по-нататъшното увеличение на цените се явява снижението на покупателната способност на населението.</w:t>
      </w:r>
    </w:p>
    <w:p w:rsidR="00012C5B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Въз основа на динамиката на цените (без да се отчита техният ръст в края на 2014 г.), сезонност на пазара на млякото и млечните продукти не се наблюдава, продажбите се държат на едно и също ниво.</w:t>
      </w:r>
    </w:p>
    <w:p w:rsidR="00012C5B" w:rsidRDefault="00012C5B" w:rsidP="00012C5B">
      <w:pPr>
        <w:pStyle w:val="a4"/>
        <w:ind w:firstLine="708"/>
        <w:rPr>
          <w:rFonts w:ascii="Verdana" w:hAnsi="Verdana"/>
          <w:b/>
          <w:sz w:val="20"/>
          <w:szCs w:val="20"/>
          <w:lang w:val="bg-BG"/>
        </w:rPr>
      </w:pP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0D2A74">
        <w:rPr>
          <w:rFonts w:ascii="Verdana" w:hAnsi="Verdana"/>
          <w:b/>
          <w:sz w:val="20"/>
          <w:szCs w:val="20"/>
          <w:lang w:val="bg-BG"/>
        </w:rPr>
        <w:t>Производители и марки.</w:t>
      </w: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Според информационно-аналитичната система GLOBAS-I®ИА „Крединформ", сред производителите на млечни продукти има няколко успешни компании, съдейки по приходите от продажби в сегмента. Най-големи компании в индустрията са Danone Group в Русия и ПАО "Вимм-Билль-Данн Продукты питания" (Москва).</w:t>
      </w: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През 1992 г., „Danone“ е една от първите западни компании стъпили на руския пазар. Инвестиционният обем на „Danone“ в страната, от началото на дейността си е достигнал 2 милиарда долара.</w:t>
      </w:r>
    </w:p>
    <w:p w:rsidR="00012C5B" w:rsidRPr="000D2A74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Историята на компанията " Вимм-Билль-Данн" води началото си от 1992 г. През февруари 2011 г., компанията се присъединява към групата „PepsiCo“, след което „PepsiCo“ става най-голямата компания в Русия за производството на храни и напитки.</w:t>
      </w:r>
    </w:p>
    <w:p w:rsidR="00012C5B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D2A74">
        <w:rPr>
          <w:rFonts w:ascii="Verdana" w:hAnsi="Verdana"/>
          <w:sz w:val="20"/>
          <w:szCs w:val="20"/>
          <w:lang w:val="bg-BG"/>
        </w:rPr>
        <w:t>Днес е сложно индивидуален производител да оцелее на пазара на мляко и млечни продукти, така че в бъдеще може да се очаква поредната вълна от сливания и поглъщания в бизнеса. Напускането на европейските производители на руския пазар, дава много възможности на местните компании за увеличаване на приходите и за по-нататъшно разширяване на присъствието си на вътрешния пазар, както и в други страни, където руските продукти на практика не са представени.</w:t>
      </w:r>
    </w:p>
    <w:p w:rsidR="00012C5B" w:rsidRDefault="00012C5B" w:rsidP="00012C5B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12C5B" w:rsidRDefault="00012C5B" w:rsidP="00012C5B">
      <w:pPr>
        <w:pStyle w:val="a4"/>
        <w:spacing w:line="276" w:lineRule="auto"/>
        <w:ind w:firstLine="708"/>
        <w:jc w:val="right"/>
        <w:rPr>
          <w:rFonts w:ascii="Calibri" w:eastAsia="Calibri" w:hAnsi="Calibri" w:cs="Times New Roman"/>
          <w:lang w:val="bg-BG"/>
        </w:rPr>
      </w:pPr>
      <w:hyperlink r:id="rId9" w:history="1">
        <w:r w:rsidRPr="003C03E9">
          <w:rPr>
            <w:rStyle w:val="a6"/>
            <w:rFonts w:ascii="Verdana" w:hAnsi="Verdana"/>
            <w:sz w:val="20"/>
            <w:szCs w:val="20"/>
            <w:lang w:val="bg-BG"/>
          </w:rPr>
          <w:t>http://www.foodmarket.spb.ru/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D14675" w:rsidRPr="00012C5B" w:rsidRDefault="00D14675">
      <w:pPr>
        <w:rPr>
          <w:lang w:val="bg-BG"/>
        </w:rPr>
      </w:pPr>
    </w:p>
    <w:sectPr w:rsidR="00D14675" w:rsidRPr="0001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5B"/>
    <w:rsid w:val="00012C5B"/>
    <w:rsid w:val="00D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5B"/>
    <w:pPr>
      <w:ind w:left="720"/>
      <w:contextualSpacing/>
    </w:pPr>
  </w:style>
  <w:style w:type="paragraph" w:styleId="a4">
    <w:name w:val="No Spacing"/>
    <w:link w:val="a5"/>
    <w:uiPriority w:val="1"/>
    <w:qFormat/>
    <w:rsid w:val="00012C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12C5B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12C5B"/>
  </w:style>
  <w:style w:type="table" w:styleId="a7">
    <w:name w:val="Table Grid"/>
    <w:basedOn w:val="a1"/>
    <w:uiPriority w:val="59"/>
    <w:rsid w:val="0001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5B"/>
    <w:pPr>
      <w:ind w:left="720"/>
      <w:contextualSpacing/>
    </w:pPr>
  </w:style>
  <w:style w:type="paragraph" w:styleId="a4">
    <w:name w:val="No Spacing"/>
    <w:link w:val="a5"/>
    <w:uiPriority w:val="1"/>
    <w:qFormat/>
    <w:rsid w:val="00012C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12C5B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12C5B"/>
  </w:style>
  <w:style w:type="table" w:styleId="a7">
    <w:name w:val="Table Grid"/>
    <w:basedOn w:val="a1"/>
    <w:uiPriority w:val="59"/>
    <w:rsid w:val="0001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bg/url?sa=i&amp;rct=j&amp;q=&amp;esrc=s&amp;source=images&amp;cd=&amp;cad=rja&amp;uact=8&amp;ved=0ahUKEwjB-Iiy9pLNAhUpEpoKHa1MB3YQjRwIBw&amp;url=http://sharij.net/43632&amp;psig=AFQjCNE5GMIOBNdBF5rx8dwnIBJ662220A&amp;ust=14652861088732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market.spb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1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11297</c:v>
                </c:pt>
                <c:pt idx="1">
                  <c:v>10578</c:v>
                </c:pt>
                <c:pt idx="2">
                  <c:v>11254</c:v>
                </c:pt>
                <c:pt idx="3">
                  <c:v>11563</c:v>
                </c:pt>
                <c:pt idx="4">
                  <c:v>11445</c:v>
                </c:pt>
                <c:pt idx="5">
                  <c:v>11626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06014336"/>
        <c:axId val="206015872"/>
        <c:axId val="0"/>
      </c:bar3DChart>
      <c:catAx>
        <c:axId val="2060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6015872"/>
        <c:crosses val="autoZero"/>
        <c:auto val="1"/>
        <c:lblAlgn val="ctr"/>
        <c:lblOffset val="100"/>
        <c:noMultiLvlLbl val="0"/>
      </c:catAx>
      <c:valAx>
        <c:axId val="206015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6014336"/>
        <c:crosses val="autoZero"/>
        <c:crossBetween val="between"/>
      </c:valAx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925956935234913E-2"/>
          <c:y val="9.6115313640039737E-2"/>
          <c:w val="0.41999634699054555"/>
          <c:h val="0.612307962574360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Лист1!$A$2:$A$11</c:f>
              <c:strCache>
                <c:ptCount val="10"/>
                <c:pt idx="0">
                  <c:v>Мляко течно обработено</c:v>
                </c:pt>
                <c:pt idx="1">
                  <c:v>Кефир</c:v>
                </c:pt>
                <c:pt idx="2">
                  <c:v>Йогурт</c:v>
                </c:pt>
                <c:pt idx="3">
                  <c:v>Сметана</c:v>
                </c:pt>
                <c:pt idx="4">
                  <c:v>Кашкавал и кашкавалени изделия</c:v>
                </c:pt>
                <c:pt idx="5">
                  <c:v>Извара</c:v>
                </c:pt>
                <c:pt idx="6">
                  <c:v>Сладолед и замразени десерти</c:v>
                </c:pt>
                <c:pt idx="7">
                  <c:v>Масло </c:v>
                </c:pt>
                <c:pt idx="8">
                  <c:v>Ряженка</c:v>
                </c:pt>
                <c:pt idx="9">
                  <c:v>Течна сметана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0.55100000000000005</c:v>
                </c:pt>
                <c:pt idx="1">
                  <c:v>0.109</c:v>
                </c:pt>
                <c:pt idx="2">
                  <c:v>7.8E-2</c:v>
                </c:pt>
                <c:pt idx="3" formatCode="0%">
                  <c:v>0.06</c:v>
                </c:pt>
                <c:pt idx="4" formatCode="0%">
                  <c:v>0.06</c:v>
                </c:pt>
                <c:pt idx="5">
                  <c:v>4.2000000000000003E-2</c:v>
                </c:pt>
                <c:pt idx="6">
                  <c:v>3.7999999999999999E-2</c:v>
                </c:pt>
                <c:pt idx="7">
                  <c:v>2.7E-2</c:v>
                </c:pt>
                <c:pt idx="8">
                  <c:v>2.1999999999999999E-2</c:v>
                </c:pt>
                <c:pt idx="9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89460343342644"/>
          <c:y val="2.378622369949657E-2"/>
          <c:w val="0.34099326902016686"/>
          <c:h val="0.802502670975719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</dc:creator>
  <cp:lastModifiedBy>stenly</cp:lastModifiedBy>
  <cp:revision>1</cp:revision>
  <dcterms:created xsi:type="dcterms:W3CDTF">2016-06-09T12:01:00Z</dcterms:created>
  <dcterms:modified xsi:type="dcterms:W3CDTF">2016-06-09T12:02:00Z</dcterms:modified>
</cp:coreProperties>
</file>