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84" w:type="dxa"/>
        <w:tblInd w:w="-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5776"/>
      </w:tblGrid>
      <w:tr w:rsidR="00226E3D" w:rsidRPr="00EC09CE" w:rsidTr="00EC09CE">
        <w:trPr>
          <w:trHeight w:val="3517"/>
        </w:trPr>
        <w:tc>
          <w:tcPr>
            <w:tcW w:w="4408" w:type="dxa"/>
            <w:hideMark/>
          </w:tcPr>
          <w:p w:rsidR="00226E3D" w:rsidRPr="00EC09CE" w:rsidRDefault="00226E3D" w:rsidP="00EC09CE">
            <w:pPr>
              <w:pStyle w:val="a4"/>
              <w:ind w:left="-709" w:firstLine="709"/>
              <w:jc w:val="both"/>
              <w:rPr>
                <w:rFonts w:ascii="Verdana" w:hAnsi="Verdana" w:cs="Times New Roman"/>
                <w:lang w:val="bg-BG"/>
              </w:rPr>
            </w:pPr>
            <w:r w:rsidRPr="00EC09CE">
              <w:rPr>
                <w:rFonts w:ascii="Verdana" w:eastAsia="Calibri" w:hAnsi="Verdana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53657C88" wp14:editId="7767581A">
                  <wp:extent cx="2509500" cy="2147777"/>
                  <wp:effectExtent l="0" t="0" r="5715" b="5080"/>
                  <wp:docPr id="2" name="Рисунок 2" descr="Описание: http://nokstv.ru/media/k2/items/cache/d9841ba99e2b24d4fa64fdf120dd7eab_Generic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nokstv.ru/media/k2/items/cache/d9841ba99e2b24d4fa64fdf120dd7eab_Generic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520" cy="214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6" w:type="dxa"/>
          </w:tcPr>
          <w:p w:rsidR="00226E3D" w:rsidRPr="00EC09CE" w:rsidRDefault="00226E3D" w:rsidP="00EC09CE">
            <w:pPr>
              <w:pStyle w:val="a4"/>
              <w:spacing w:line="276" w:lineRule="auto"/>
              <w:ind w:left="-709" w:firstLine="709"/>
              <w:jc w:val="center"/>
              <w:rPr>
                <w:rFonts w:ascii="Verdana" w:hAnsi="Verdana" w:cs="Times New Roman"/>
                <w:b/>
                <w:lang w:val="en-US"/>
              </w:rPr>
            </w:pPr>
            <w:r w:rsidRPr="00EC09CE">
              <w:rPr>
                <w:rFonts w:ascii="Verdana" w:hAnsi="Verdana" w:cs="Times New Roman"/>
                <w:b/>
                <w:lang w:val="bg-BG"/>
              </w:rPr>
              <w:t>Санкциите към РФ удрят по съседите</w:t>
            </w:r>
            <w:bookmarkStart w:id="0" w:name="_GoBack"/>
            <w:bookmarkEnd w:id="0"/>
          </w:p>
          <w:p w:rsidR="00226E3D" w:rsidRPr="00EC09CE" w:rsidRDefault="00226E3D" w:rsidP="00EC09CE">
            <w:pPr>
              <w:pStyle w:val="a4"/>
              <w:spacing w:line="276" w:lineRule="auto"/>
              <w:ind w:left="-118"/>
              <w:jc w:val="both"/>
              <w:rPr>
                <w:rFonts w:ascii="Verdana" w:hAnsi="Verdana" w:cs="Times New Roman"/>
                <w:lang w:val="bg-BG"/>
              </w:rPr>
            </w:pPr>
            <w:r w:rsidRPr="00EC09CE">
              <w:rPr>
                <w:rFonts w:ascii="Verdana" w:hAnsi="Verdana" w:cs="Times New Roman"/>
                <w:lang w:val="bg-BG"/>
              </w:rPr>
              <w:t xml:space="preserve">       Московският център за международна търговия представи резултатите от проучването, което разкрива подробности за потенциалното въздействие на руските хранителни санкции на отделни страни, техните макроикономически показатели и пазари. Най-чувствителни към санкциите са страните от ЕС, граничещи с Русия, а най-уязвими - производителите на зеленчуци, плодове, сирене и свинско месо. Загубите на Русия се проявяват като значително ускоряване на инфлацията още от средата на 2015 г. </w:t>
            </w:r>
          </w:p>
        </w:tc>
      </w:tr>
    </w:tbl>
    <w:p w:rsidR="00226E3D" w:rsidRPr="00EC09CE" w:rsidRDefault="00226E3D" w:rsidP="00EC09CE">
      <w:pPr>
        <w:pStyle w:val="a4"/>
        <w:spacing w:after="120" w:line="276" w:lineRule="auto"/>
        <w:ind w:left="-709" w:firstLine="709"/>
        <w:jc w:val="both"/>
        <w:rPr>
          <w:rFonts w:ascii="Verdana" w:hAnsi="Verdana" w:cs="Times New Roman"/>
          <w:lang w:val="bg-BG"/>
        </w:rPr>
      </w:pPr>
      <w:r w:rsidRPr="00EC09CE">
        <w:rPr>
          <w:rFonts w:ascii="Verdana" w:hAnsi="Verdana" w:cs="Times New Roman"/>
          <w:lang w:val="bg-BG"/>
        </w:rPr>
        <w:t>Изследването е проведено въз основа на статистически данни за 2013 г. - на база данни за външната търговия ITC (International Trade Center, съвместна агенция на СТО и Организацията на обединените нации).</w:t>
      </w:r>
    </w:p>
    <w:p w:rsidR="00950908" w:rsidRPr="00EC09CE" w:rsidRDefault="00226E3D" w:rsidP="00EC09CE">
      <w:pPr>
        <w:ind w:left="-709" w:firstLine="709"/>
        <w:rPr>
          <w:rFonts w:ascii="Verdana" w:hAnsi="Verdana" w:cs="Times New Roman"/>
          <w:lang w:val="en-US"/>
        </w:rPr>
      </w:pPr>
      <w:r w:rsidRPr="00EC09CE">
        <w:rPr>
          <w:rStyle w:val="hps"/>
          <w:rFonts w:ascii="Verdana" w:hAnsi="Verdana" w:cs="Times New Roman"/>
          <w:lang w:val="bg-BG"/>
        </w:rPr>
        <w:t>Съотношението на страните, които</w:t>
      </w:r>
      <w:r w:rsidRPr="00EC09CE">
        <w:rPr>
          <w:rFonts w:ascii="Verdana" w:hAnsi="Verdana" w:cs="Times New Roman"/>
          <w:lang w:val="bg-BG"/>
        </w:rPr>
        <w:t xml:space="preserve"> са попаднали под </w:t>
      </w:r>
      <w:r w:rsidRPr="00EC09CE">
        <w:rPr>
          <w:rStyle w:val="hps"/>
          <w:rFonts w:ascii="Verdana" w:hAnsi="Verdana" w:cs="Times New Roman"/>
          <w:lang w:val="bg-BG"/>
        </w:rPr>
        <w:t>ембарго</w:t>
      </w:r>
      <w:r w:rsidRPr="00EC09CE">
        <w:rPr>
          <w:rFonts w:ascii="Verdana" w:hAnsi="Verdana" w:cs="Times New Roman"/>
          <w:lang w:val="bg-BG"/>
        </w:rPr>
        <w:t xml:space="preserve"> з</w:t>
      </w:r>
      <w:r w:rsidRPr="00EC09CE">
        <w:rPr>
          <w:rStyle w:val="hps"/>
          <w:rFonts w:ascii="Verdana" w:hAnsi="Verdana" w:cs="Times New Roman"/>
          <w:lang w:val="bg-BG"/>
        </w:rPr>
        <w:t>а внос на стоки от списъка на санкциите</w:t>
      </w:r>
      <w:r w:rsidRPr="00EC09CE">
        <w:rPr>
          <w:rFonts w:ascii="Verdana" w:hAnsi="Verdana" w:cs="Times New Roman"/>
          <w:lang w:val="bg-BG"/>
        </w:rPr>
        <w:t xml:space="preserve">, </w:t>
      </w:r>
      <w:r w:rsidRPr="00EC09CE">
        <w:rPr>
          <w:rStyle w:val="hps"/>
          <w:rFonts w:ascii="Verdana" w:hAnsi="Verdana" w:cs="Times New Roman"/>
          <w:lang w:val="bg-BG"/>
        </w:rPr>
        <w:t>е малко повече от 37%</w:t>
      </w:r>
      <w:r w:rsidRPr="00EC09CE">
        <w:rPr>
          <w:rFonts w:ascii="Verdana" w:hAnsi="Verdana" w:cs="Times New Roman"/>
          <w:lang w:val="bg-BG"/>
        </w:rPr>
        <w:t xml:space="preserve">, </w:t>
      </w:r>
      <w:r w:rsidRPr="00EC09CE">
        <w:rPr>
          <w:rStyle w:val="hps"/>
          <w:rFonts w:ascii="Verdana" w:hAnsi="Verdana" w:cs="Times New Roman"/>
          <w:lang w:val="bg-BG"/>
        </w:rPr>
        <w:t>от които 30% принадлежат към страните от ЕС.</w:t>
      </w:r>
      <w:r w:rsidRPr="00EC09CE">
        <w:rPr>
          <w:rFonts w:ascii="Verdana" w:hAnsi="Verdana" w:cs="Times New Roman"/>
          <w:lang w:val="bg-BG"/>
        </w:rPr>
        <w:t xml:space="preserve"> Делът на</w:t>
      </w:r>
    </w:p>
    <w:p w:rsidR="00226E3D" w:rsidRPr="00EC09CE" w:rsidRDefault="00226E3D" w:rsidP="00EC09CE">
      <w:pPr>
        <w:pStyle w:val="a4"/>
        <w:spacing w:after="120" w:line="276" w:lineRule="auto"/>
        <w:ind w:left="-709" w:firstLine="709"/>
        <w:jc w:val="both"/>
        <w:rPr>
          <w:rFonts w:ascii="Verdana" w:hAnsi="Verdana" w:cs="Times New Roman"/>
          <w:lang w:val="bg-BG"/>
        </w:rPr>
      </w:pPr>
      <w:r w:rsidRPr="00EC09CE">
        <w:rPr>
          <w:rStyle w:val="hps"/>
          <w:rFonts w:ascii="Verdana" w:hAnsi="Verdana" w:cs="Times New Roman"/>
          <w:lang w:val="bg-BG"/>
        </w:rPr>
        <w:t>САЩ</w:t>
      </w:r>
      <w:r w:rsidRPr="00EC09CE">
        <w:rPr>
          <w:rFonts w:ascii="Verdana" w:hAnsi="Verdana" w:cs="Times New Roman"/>
          <w:lang w:val="bg-BG"/>
        </w:rPr>
        <w:t xml:space="preserve"> е 4% от </w:t>
      </w:r>
      <w:r w:rsidRPr="00EC09CE">
        <w:rPr>
          <w:rStyle w:val="hps"/>
          <w:rFonts w:ascii="Verdana" w:hAnsi="Verdana" w:cs="Times New Roman"/>
          <w:lang w:val="bg-BG"/>
        </w:rPr>
        <w:t>доставките</w:t>
      </w:r>
      <w:r w:rsidRPr="00EC09CE">
        <w:rPr>
          <w:rFonts w:ascii="Verdana" w:hAnsi="Verdana" w:cs="Times New Roman"/>
          <w:lang w:val="bg-BG"/>
        </w:rPr>
        <w:t xml:space="preserve">, на Канада - </w:t>
      </w:r>
      <w:r w:rsidRPr="00EC09CE">
        <w:rPr>
          <w:rStyle w:val="hps"/>
          <w:rFonts w:ascii="Verdana" w:hAnsi="Verdana" w:cs="Times New Roman"/>
          <w:lang w:val="bg-BG"/>
        </w:rPr>
        <w:t>2%</w:t>
      </w:r>
      <w:r w:rsidRPr="00EC09CE">
        <w:rPr>
          <w:rFonts w:ascii="Verdana" w:hAnsi="Verdana" w:cs="Times New Roman"/>
          <w:lang w:val="bg-BG"/>
        </w:rPr>
        <w:t xml:space="preserve">, на Австралия и </w:t>
      </w:r>
      <w:r w:rsidRPr="00EC09CE">
        <w:rPr>
          <w:rStyle w:val="hps"/>
          <w:rFonts w:ascii="Verdana" w:hAnsi="Verdana" w:cs="Times New Roman"/>
          <w:lang w:val="bg-BG"/>
        </w:rPr>
        <w:t>Норвегия - 1%. Общият размер на потенциалната загуба на всички страни в</w:t>
      </w:r>
      <w:r w:rsidRPr="00EC09CE">
        <w:rPr>
          <w:rFonts w:ascii="Verdana" w:hAnsi="Verdana" w:cs="Times New Roman"/>
          <w:lang w:val="bg-BG"/>
        </w:rPr>
        <w:t xml:space="preserve"> Московския</w:t>
      </w:r>
      <w:r w:rsidRPr="00EC09CE">
        <w:rPr>
          <w:rStyle w:val="hps"/>
          <w:rFonts w:ascii="Verdana" w:hAnsi="Verdana" w:cs="Times New Roman"/>
          <w:lang w:val="bg-BG"/>
        </w:rPr>
        <w:t xml:space="preserve"> търговски център се оценява на 8,30 милиарда</w:t>
      </w:r>
      <w:r w:rsidRPr="00EC09CE">
        <w:rPr>
          <w:rFonts w:ascii="Verdana" w:hAnsi="Verdana" w:cs="Times New Roman"/>
          <w:lang w:val="bg-BG"/>
        </w:rPr>
        <w:t xml:space="preserve"> долара. От</w:t>
      </w:r>
      <w:r w:rsidRPr="00EC09CE">
        <w:rPr>
          <w:rStyle w:val="hps"/>
          <w:rFonts w:ascii="Verdana" w:hAnsi="Verdana" w:cs="Times New Roman"/>
          <w:lang w:val="bg-BG"/>
        </w:rPr>
        <w:t xml:space="preserve"> тях</w:t>
      </w:r>
      <w:r w:rsidRPr="00EC09CE">
        <w:rPr>
          <w:rFonts w:ascii="Verdana" w:hAnsi="Verdana" w:cs="Times New Roman"/>
          <w:lang w:val="bg-BG"/>
        </w:rPr>
        <w:t xml:space="preserve"> загубите на </w:t>
      </w:r>
      <w:r w:rsidRPr="00EC09CE">
        <w:rPr>
          <w:rStyle w:val="hps"/>
          <w:rFonts w:ascii="Verdana" w:hAnsi="Verdana" w:cs="Times New Roman"/>
          <w:lang w:val="bg-BG"/>
        </w:rPr>
        <w:t>страни Членки на ЕС</w:t>
      </w:r>
      <w:r w:rsidRPr="00EC09CE">
        <w:rPr>
          <w:rFonts w:ascii="Verdana" w:hAnsi="Verdana" w:cs="Times New Roman"/>
          <w:lang w:val="bg-BG"/>
        </w:rPr>
        <w:t xml:space="preserve"> са около </w:t>
      </w:r>
      <w:r w:rsidRPr="00EC09CE">
        <w:rPr>
          <w:rStyle w:val="hps"/>
          <w:rFonts w:ascii="Verdana" w:hAnsi="Verdana" w:cs="Times New Roman"/>
          <w:lang w:val="bg-BG"/>
        </w:rPr>
        <w:t>6,9 милиарда долара</w:t>
      </w:r>
      <w:r w:rsidRPr="00EC09CE">
        <w:rPr>
          <w:rFonts w:ascii="Verdana" w:hAnsi="Verdana" w:cs="Times New Roman"/>
          <w:lang w:val="bg-BG"/>
        </w:rPr>
        <w:t xml:space="preserve">, което е сравнимо </w:t>
      </w:r>
      <w:r w:rsidRPr="00EC09CE">
        <w:rPr>
          <w:rStyle w:val="hps"/>
          <w:rFonts w:ascii="Verdana" w:hAnsi="Verdana" w:cs="Times New Roman"/>
          <w:lang w:val="bg-BG"/>
        </w:rPr>
        <w:t>с прогнозите</w:t>
      </w:r>
      <w:r w:rsidRPr="00EC09CE">
        <w:rPr>
          <w:rFonts w:ascii="Verdana" w:hAnsi="Verdana" w:cs="Times New Roman"/>
          <w:lang w:val="bg-BG"/>
        </w:rPr>
        <w:t xml:space="preserve">, обнародвани </w:t>
      </w:r>
      <w:r w:rsidRPr="00EC09CE">
        <w:rPr>
          <w:rStyle w:val="hps"/>
          <w:rFonts w:ascii="Verdana" w:hAnsi="Verdana" w:cs="Times New Roman"/>
          <w:lang w:val="bg-BG"/>
        </w:rPr>
        <w:t>на 3 септември</w:t>
      </w:r>
      <w:r w:rsidRPr="00EC09CE">
        <w:rPr>
          <w:rFonts w:ascii="Verdana" w:hAnsi="Verdana" w:cs="Times New Roman"/>
          <w:lang w:val="bg-BG"/>
        </w:rPr>
        <w:t xml:space="preserve"> от </w:t>
      </w:r>
      <w:r w:rsidRPr="00EC09CE">
        <w:rPr>
          <w:rStyle w:val="hps"/>
          <w:rFonts w:ascii="Verdana" w:hAnsi="Verdana" w:cs="Times New Roman"/>
          <w:lang w:val="bg-BG"/>
        </w:rPr>
        <w:t>Европейския комисар по въпросите на земеделието и селското стопанство Дачиан Чолош – 5 милиарда евро (</w:t>
      </w:r>
      <w:r w:rsidRPr="00EC09CE">
        <w:rPr>
          <w:rFonts w:ascii="Verdana" w:hAnsi="Verdana" w:cs="Times New Roman"/>
          <w:lang w:val="bg-BG"/>
        </w:rPr>
        <w:t>6.5 милиарда долара).</w:t>
      </w:r>
    </w:p>
    <w:p w:rsidR="00226E3D" w:rsidRPr="00EC09CE" w:rsidRDefault="00226E3D" w:rsidP="00EC09CE">
      <w:pPr>
        <w:pStyle w:val="a4"/>
        <w:spacing w:after="120" w:line="276" w:lineRule="auto"/>
        <w:ind w:left="-709" w:firstLine="709"/>
        <w:jc w:val="both"/>
        <w:rPr>
          <w:rFonts w:ascii="Verdana" w:hAnsi="Verdana" w:cs="Times New Roman"/>
          <w:lang w:val="bg-BG"/>
        </w:rPr>
      </w:pPr>
      <w:r w:rsidRPr="00EC09CE">
        <w:rPr>
          <w:rStyle w:val="hps"/>
          <w:rFonts w:ascii="Verdana" w:hAnsi="Verdana" w:cs="Times New Roman"/>
          <w:lang w:val="bg-BG"/>
        </w:rPr>
        <w:t>Макроикономическите</w:t>
      </w:r>
      <w:r w:rsidRPr="00EC09CE">
        <w:rPr>
          <w:rFonts w:ascii="Verdana" w:hAnsi="Verdana" w:cs="Times New Roman"/>
          <w:lang w:val="bg-BG"/>
        </w:rPr>
        <w:t xml:space="preserve"> последствия</w:t>
      </w:r>
      <w:r w:rsidRPr="00EC09CE">
        <w:rPr>
          <w:rStyle w:val="hps"/>
          <w:rFonts w:ascii="Verdana" w:hAnsi="Verdana" w:cs="Times New Roman"/>
          <w:lang w:val="bg-BG"/>
        </w:rPr>
        <w:t xml:space="preserve"> от ембаргото за повечето  страни изглеждат незначителни (виж</w:t>
      </w:r>
      <w:r w:rsidRPr="00EC09CE">
        <w:rPr>
          <w:rFonts w:ascii="Verdana" w:hAnsi="Verdana" w:cs="Times New Roman"/>
          <w:lang w:val="bg-BG"/>
        </w:rPr>
        <w:t>. графиката).</w:t>
      </w:r>
      <w:r w:rsidRPr="00EC09CE">
        <w:rPr>
          <w:rFonts w:ascii="Verdana" w:hAnsi="Verdana" w:cs="Times New Roman"/>
          <w:color w:val="FF0000"/>
          <w:lang w:val="bg-BG"/>
        </w:rPr>
        <w:t xml:space="preserve"> </w:t>
      </w:r>
      <w:r w:rsidRPr="00EC09CE">
        <w:rPr>
          <w:rStyle w:val="hps"/>
          <w:rFonts w:ascii="Verdana" w:hAnsi="Verdana" w:cs="Times New Roman"/>
          <w:lang w:val="bg-BG"/>
        </w:rPr>
        <w:t>Най-</w:t>
      </w:r>
      <w:r w:rsidRPr="00EC09CE">
        <w:rPr>
          <w:rFonts w:ascii="Verdana" w:hAnsi="Verdana" w:cs="Times New Roman"/>
          <w:lang w:val="bg-BG"/>
        </w:rPr>
        <w:t xml:space="preserve">чувствителни </w:t>
      </w:r>
      <w:r w:rsidRPr="00EC09CE">
        <w:rPr>
          <w:rStyle w:val="hps"/>
          <w:rFonts w:ascii="Verdana" w:hAnsi="Verdana" w:cs="Times New Roman"/>
          <w:lang w:val="bg-BG"/>
        </w:rPr>
        <w:t>могат да бъдат</w:t>
      </w:r>
      <w:r w:rsidRPr="00EC09CE">
        <w:rPr>
          <w:rFonts w:ascii="Verdana" w:hAnsi="Verdana" w:cs="Times New Roman"/>
          <w:lang w:val="bg-BG"/>
        </w:rPr>
        <w:t xml:space="preserve"> страни, на които </w:t>
      </w:r>
      <w:r w:rsidRPr="00EC09CE">
        <w:rPr>
          <w:rStyle w:val="hps"/>
          <w:rFonts w:ascii="Verdana" w:hAnsi="Verdana" w:cs="Times New Roman"/>
          <w:lang w:val="bg-BG"/>
        </w:rPr>
        <w:t>външнотърговското салдо е било отрицателно и до въвеждането на санкциите</w:t>
      </w:r>
      <w:r w:rsidRPr="00EC09CE">
        <w:rPr>
          <w:rFonts w:ascii="Verdana" w:hAnsi="Verdana" w:cs="Times New Roman"/>
          <w:lang w:val="bg-BG"/>
        </w:rPr>
        <w:t xml:space="preserve">. </w:t>
      </w:r>
      <w:r w:rsidRPr="00EC09CE">
        <w:rPr>
          <w:rStyle w:val="hps"/>
          <w:rFonts w:ascii="Verdana" w:hAnsi="Verdana" w:cs="Times New Roman"/>
          <w:lang w:val="bg-BG"/>
        </w:rPr>
        <w:t>Най-</w:t>
      </w:r>
      <w:r w:rsidRPr="00EC09CE">
        <w:rPr>
          <w:rFonts w:ascii="Verdana" w:hAnsi="Verdana" w:cs="Times New Roman"/>
          <w:lang w:val="bg-BG"/>
        </w:rPr>
        <w:t xml:space="preserve">впечатляващи </w:t>
      </w:r>
      <w:r w:rsidRPr="00EC09CE">
        <w:rPr>
          <w:rStyle w:val="hps"/>
          <w:rFonts w:ascii="Verdana" w:hAnsi="Verdana" w:cs="Times New Roman"/>
          <w:lang w:val="bg-BG"/>
        </w:rPr>
        <w:t>потенциални загуби може да понесе Полша, където търговският дефицит може да нарасне с 52% - повече от 1 милиард долара (</w:t>
      </w:r>
      <w:r w:rsidRPr="00EC09CE">
        <w:rPr>
          <w:rFonts w:ascii="Verdana" w:hAnsi="Verdana" w:cs="Times New Roman"/>
          <w:lang w:val="bg-BG"/>
        </w:rPr>
        <w:t xml:space="preserve">до </w:t>
      </w:r>
      <w:r w:rsidRPr="00EC09CE">
        <w:rPr>
          <w:rStyle w:val="hps"/>
          <w:rFonts w:ascii="Verdana" w:hAnsi="Verdana" w:cs="Times New Roman"/>
          <w:lang w:val="bg-BG"/>
        </w:rPr>
        <w:t>3,2 милиарда долара</w:t>
      </w:r>
      <w:r w:rsidRPr="00EC09CE">
        <w:rPr>
          <w:rFonts w:ascii="Verdana" w:hAnsi="Verdana" w:cs="Times New Roman"/>
          <w:lang w:val="bg-BG"/>
        </w:rPr>
        <w:t xml:space="preserve">). След </w:t>
      </w:r>
      <w:r w:rsidRPr="00EC09CE">
        <w:rPr>
          <w:rStyle w:val="hps"/>
          <w:rFonts w:ascii="Verdana" w:hAnsi="Verdana" w:cs="Times New Roman"/>
          <w:lang w:val="bg-BG"/>
        </w:rPr>
        <w:t>Полша</w:t>
      </w:r>
      <w:r w:rsidRPr="00EC09CE">
        <w:rPr>
          <w:rFonts w:ascii="Verdana" w:hAnsi="Verdana" w:cs="Times New Roman"/>
          <w:lang w:val="bg-BG"/>
        </w:rPr>
        <w:t xml:space="preserve"> е Литва, за която</w:t>
      </w:r>
      <w:r w:rsidRPr="00EC09CE">
        <w:rPr>
          <w:rStyle w:val="hps"/>
          <w:rFonts w:ascii="Verdana" w:hAnsi="Verdana" w:cs="Times New Roman"/>
          <w:lang w:val="bg-BG"/>
        </w:rPr>
        <w:t xml:space="preserve"> забранените в Русия доставки на продукти представляват около 4% от общия износ – влошаването на салдото по търговския баланс може да достигне 47% (</w:t>
      </w:r>
      <w:r w:rsidRPr="00EC09CE">
        <w:rPr>
          <w:rFonts w:ascii="Verdana" w:hAnsi="Verdana" w:cs="Times New Roman"/>
          <w:lang w:val="bg-BG"/>
        </w:rPr>
        <w:t>до</w:t>
      </w:r>
      <w:r w:rsidRPr="00EC09CE">
        <w:rPr>
          <w:rStyle w:val="hps"/>
          <w:rFonts w:ascii="Verdana" w:hAnsi="Verdana" w:cs="Times New Roman"/>
          <w:lang w:val="bg-BG"/>
        </w:rPr>
        <w:t xml:space="preserve"> 3.8 милиарда долара</w:t>
      </w:r>
      <w:r w:rsidRPr="00EC09CE">
        <w:rPr>
          <w:rFonts w:ascii="Verdana" w:hAnsi="Verdana" w:cs="Times New Roman"/>
          <w:lang w:val="bg-BG"/>
        </w:rPr>
        <w:t xml:space="preserve">). </w:t>
      </w:r>
      <w:r w:rsidRPr="00EC09CE">
        <w:rPr>
          <w:rStyle w:val="hps"/>
          <w:rFonts w:ascii="Verdana" w:hAnsi="Verdana" w:cs="Times New Roman"/>
          <w:lang w:val="bg-BG"/>
        </w:rPr>
        <w:t>Затваря тройката от най-</w:t>
      </w:r>
      <w:r w:rsidRPr="00EC09CE">
        <w:rPr>
          <w:rFonts w:ascii="Verdana" w:hAnsi="Verdana" w:cs="Times New Roman"/>
          <w:lang w:val="bg-BG"/>
        </w:rPr>
        <w:t xml:space="preserve">уязвими страни </w:t>
      </w:r>
      <w:r w:rsidRPr="00EC09CE">
        <w:rPr>
          <w:rStyle w:val="hps"/>
          <w:rFonts w:ascii="Verdana" w:hAnsi="Verdana" w:cs="Times New Roman"/>
          <w:lang w:val="bg-BG"/>
        </w:rPr>
        <w:t>Финландия</w:t>
      </w:r>
      <w:r w:rsidRPr="00EC09CE">
        <w:rPr>
          <w:rFonts w:ascii="Verdana" w:hAnsi="Verdana" w:cs="Times New Roman"/>
          <w:lang w:val="bg-BG"/>
        </w:rPr>
        <w:t xml:space="preserve">, за която </w:t>
      </w:r>
      <w:r w:rsidRPr="00EC09CE">
        <w:rPr>
          <w:rStyle w:val="hps"/>
          <w:rFonts w:ascii="Verdana" w:hAnsi="Verdana" w:cs="Times New Roman"/>
          <w:lang w:val="bg-BG"/>
        </w:rPr>
        <w:t>вероятното влошаване на търговския баланс</w:t>
      </w:r>
      <w:r w:rsidRPr="00EC09CE">
        <w:rPr>
          <w:rFonts w:ascii="Verdana" w:hAnsi="Verdana" w:cs="Times New Roman"/>
          <w:lang w:val="bg-BG"/>
        </w:rPr>
        <w:t xml:space="preserve"> е около </w:t>
      </w:r>
      <w:r w:rsidRPr="00EC09CE">
        <w:rPr>
          <w:rStyle w:val="hps"/>
          <w:rFonts w:ascii="Verdana" w:hAnsi="Verdana" w:cs="Times New Roman"/>
          <w:lang w:val="bg-BG"/>
        </w:rPr>
        <w:t>12%(до  3,4 милиарда долара</w:t>
      </w:r>
      <w:r w:rsidRPr="00EC09CE">
        <w:rPr>
          <w:rFonts w:ascii="Verdana" w:hAnsi="Verdana" w:cs="Times New Roman"/>
          <w:lang w:val="bg-BG"/>
        </w:rPr>
        <w:t>).</w:t>
      </w:r>
    </w:p>
    <w:p w:rsidR="00226E3D" w:rsidRPr="00EC09CE" w:rsidRDefault="00226E3D" w:rsidP="00EC09CE">
      <w:pPr>
        <w:pStyle w:val="a4"/>
        <w:spacing w:after="120" w:line="276" w:lineRule="auto"/>
        <w:ind w:left="-709" w:firstLine="709"/>
        <w:jc w:val="both"/>
        <w:rPr>
          <w:rFonts w:ascii="Verdana" w:hAnsi="Verdana" w:cs="Times New Roman"/>
          <w:lang w:val="bg-BG"/>
        </w:rPr>
      </w:pPr>
      <w:r w:rsidRPr="00EC09CE">
        <w:rPr>
          <w:rStyle w:val="hps"/>
          <w:rFonts w:ascii="Verdana" w:hAnsi="Verdana" w:cs="Times New Roman"/>
          <w:lang w:val="bg-BG"/>
        </w:rPr>
        <w:t>Картината</w:t>
      </w:r>
      <w:r w:rsidRPr="00EC09CE">
        <w:rPr>
          <w:rFonts w:ascii="Verdana" w:hAnsi="Verdana" w:cs="Times New Roman"/>
          <w:lang w:val="bg-BG"/>
        </w:rPr>
        <w:t xml:space="preserve"> по страните се сменя, </w:t>
      </w:r>
      <w:r w:rsidRPr="00EC09CE">
        <w:rPr>
          <w:rStyle w:val="hps"/>
          <w:rFonts w:ascii="Verdana" w:hAnsi="Verdana" w:cs="Times New Roman"/>
          <w:lang w:val="bg-BG"/>
        </w:rPr>
        <w:t>ако се вземе предвид техния дял в общия обем на износа на санкционни стоки за</w:t>
      </w:r>
      <w:r w:rsidRPr="00EC09CE">
        <w:rPr>
          <w:rFonts w:ascii="Verdana" w:hAnsi="Verdana" w:cs="Times New Roman"/>
          <w:lang w:val="bg-BG"/>
        </w:rPr>
        <w:t xml:space="preserve"> РФ. </w:t>
      </w:r>
      <w:r w:rsidRPr="00EC09CE">
        <w:rPr>
          <w:rStyle w:val="hps"/>
          <w:rFonts w:ascii="Verdana" w:hAnsi="Verdana" w:cs="Times New Roman"/>
          <w:lang w:val="bg-BG"/>
        </w:rPr>
        <w:t>Основният доставчик на продоволствие е била Литва -44,8%</w:t>
      </w:r>
      <w:r w:rsidRPr="00EC09CE">
        <w:rPr>
          <w:rFonts w:ascii="Verdana" w:hAnsi="Verdana" w:cs="Times New Roman"/>
          <w:lang w:val="bg-BG"/>
        </w:rPr>
        <w:t xml:space="preserve">, следвана от </w:t>
      </w:r>
      <w:r w:rsidRPr="00EC09CE">
        <w:rPr>
          <w:rStyle w:val="hps"/>
          <w:rFonts w:ascii="Verdana" w:hAnsi="Verdana" w:cs="Times New Roman"/>
          <w:lang w:val="bg-BG"/>
        </w:rPr>
        <w:t>Финландия - 39.8%</w:t>
      </w:r>
      <w:r w:rsidRPr="00EC09CE">
        <w:rPr>
          <w:rFonts w:ascii="Verdana" w:hAnsi="Verdana" w:cs="Times New Roman"/>
          <w:lang w:val="bg-BG"/>
        </w:rPr>
        <w:t xml:space="preserve">, Естония </w:t>
      </w:r>
      <w:r w:rsidRPr="00EC09CE">
        <w:rPr>
          <w:rStyle w:val="hps"/>
          <w:rFonts w:ascii="Verdana" w:hAnsi="Verdana" w:cs="Times New Roman"/>
          <w:lang w:val="bg-BG"/>
        </w:rPr>
        <w:t>- 16%</w:t>
      </w:r>
      <w:r w:rsidRPr="00EC09CE">
        <w:rPr>
          <w:rFonts w:ascii="Verdana" w:hAnsi="Verdana" w:cs="Times New Roman"/>
          <w:lang w:val="bg-BG"/>
        </w:rPr>
        <w:t xml:space="preserve">, Латвия </w:t>
      </w:r>
      <w:r w:rsidRPr="00EC09CE">
        <w:rPr>
          <w:rStyle w:val="hps"/>
          <w:rFonts w:ascii="Verdana" w:hAnsi="Verdana" w:cs="Times New Roman"/>
          <w:lang w:val="bg-BG"/>
        </w:rPr>
        <w:t>- 10.7%</w:t>
      </w:r>
      <w:r w:rsidRPr="00EC09CE">
        <w:rPr>
          <w:rFonts w:ascii="Verdana" w:hAnsi="Verdana" w:cs="Times New Roman"/>
          <w:lang w:val="bg-BG"/>
        </w:rPr>
        <w:t xml:space="preserve">, Норвегия </w:t>
      </w:r>
      <w:r w:rsidRPr="00EC09CE">
        <w:rPr>
          <w:rStyle w:val="hps"/>
          <w:rFonts w:ascii="Verdana" w:hAnsi="Verdana" w:cs="Times New Roman"/>
          <w:lang w:val="bg-BG"/>
        </w:rPr>
        <w:t>- 10.8%</w:t>
      </w:r>
      <w:r w:rsidRPr="00EC09CE">
        <w:rPr>
          <w:rFonts w:ascii="Verdana" w:hAnsi="Verdana" w:cs="Times New Roman"/>
          <w:lang w:val="bg-BG"/>
        </w:rPr>
        <w:t xml:space="preserve">, </w:t>
      </w:r>
      <w:r w:rsidRPr="00EC09CE">
        <w:rPr>
          <w:rStyle w:val="hps"/>
          <w:rFonts w:ascii="Verdana" w:hAnsi="Verdana" w:cs="Times New Roman"/>
          <w:lang w:val="bg-BG"/>
        </w:rPr>
        <w:t>и Полша - 10,2%</w:t>
      </w:r>
      <w:r w:rsidRPr="00EC09CE">
        <w:rPr>
          <w:rFonts w:ascii="Verdana" w:hAnsi="Verdana" w:cs="Times New Roman"/>
          <w:lang w:val="bg-BG"/>
        </w:rPr>
        <w:t xml:space="preserve">. </w:t>
      </w:r>
      <w:r w:rsidRPr="00EC09CE">
        <w:rPr>
          <w:rStyle w:val="hps"/>
          <w:rFonts w:ascii="Verdana" w:hAnsi="Verdana" w:cs="Times New Roman"/>
          <w:lang w:val="bg-BG"/>
        </w:rPr>
        <w:t>Най-вече ограниченията ще се отразят на износа на плодове и зеленчуци. В</w:t>
      </w:r>
      <w:r w:rsidRPr="00EC09CE">
        <w:rPr>
          <w:rFonts w:ascii="Verdana" w:hAnsi="Verdana" w:cs="Times New Roman"/>
          <w:lang w:val="bg-BG"/>
        </w:rPr>
        <w:t xml:space="preserve"> финансов аспект най-много ще загубят производителите на </w:t>
      </w:r>
      <w:r w:rsidRPr="00EC09CE">
        <w:rPr>
          <w:rStyle w:val="hps"/>
          <w:rFonts w:ascii="Verdana" w:hAnsi="Verdana" w:cs="Times New Roman"/>
          <w:lang w:val="bg-BG"/>
        </w:rPr>
        <w:t>сирена и свинско месо, доставката на които в Русия беше замразена</w:t>
      </w:r>
      <w:r w:rsidRPr="00EC09CE">
        <w:rPr>
          <w:rFonts w:ascii="Verdana" w:hAnsi="Verdana" w:cs="Times New Roman"/>
          <w:lang w:val="bg-BG"/>
        </w:rPr>
        <w:t xml:space="preserve"> още </w:t>
      </w:r>
      <w:r w:rsidRPr="00EC09CE">
        <w:rPr>
          <w:rStyle w:val="hps"/>
          <w:rFonts w:ascii="Verdana" w:hAnsi="Verdana" w:cs="Times New Roman"/>
          <w:lang w:val="bg-BG"/>
        </w:rPr>
        <w:t>в началото на 2014 г.</w:t>
      </w:r>
    </w:p>
    <w:p w:rsidR="00226E3D" w:rsidRPr="00EC09CE" w:rsidRDefault="00226E3D" w:rsidP="00EC09CE">
      <w:pPr>
        <w:pStyle w:val="a4"/>
        <w:spacing w:after="120" w:line="276" w:lineRule="auto"/>
        <w:ind w:left="-709" w:firstLine="709"/>
        <w:jc w:val="both"/>
        <w:rPr>
          <w:rStyle w:val="hps"/>
          <w:rFonts w:ascii="Verdana" w:hAnsi="Verdana" w:cs="Times New Roman"/>
        </w:rPr>
      </w:pPr>
      <w:r w:rsidRPr="00EC09CE">
        <w:rPr>
          <w:rStyle w:val="hps"/>
          <w:rFonts w:ascii="Verdana" w:hAnsi="Verdana" w:cs="Times New Roman"/>
          <w:lang w:val="bg-BG"/>
        </w:rPr>
        <w:t>Както вече бе споменато</w:t>
      </w:r>
      <w:r w:rsidRPr="00EC09CE">
        <w:rPr>
          <w:rFonts w:ascii="Verdana" w:hAnsi="Verdana" w:cs="Times New Roman"/>
          <w:lang w:val="bg-BG"/>
        </w:rPr>
        <w:t xml:space="preserve">, </w:t>
      </w:r>
      <w:r w:rsidRPr="00EC09CE">
        <w:rPr>
          <w:rStyle w:val="hps"/>
          <w:rFonts w:ascii="Verdana" w:hAnsi="Verdana" w:cs="Times New Roman"/>
          <w:lang w:val="bg-BG"/>
        </w:rPr>
        <w:t>руската икономика ще плати за ограниченията на внос</w:t>
      </w:r>
      <w:r w:rsidRPr="00EC09CE">
        <w:rPr>
          <w:rFonts w:ascii="Verdana" w:hAnsi="Verdana" w:cs="Times New Roman"/>
          <w:lang w:val="bg-BG"/>
        </w:rPr>
        <w:t xml:space="preserve"> с </w:t>
      </w:r>
      <w:r w:rsidRPr="00EC09CE">
        <w:rPr>
          <w:rStyle w:val="hps"/>
          <w:rFonts w:ascii="Verdana" w:hAnsi="Verdana" w:cs="Times New Roman"/>
          <w:lang w:val="bg-BG"/>
        </w:rPr>
        <w:t>ускоряване на инфлацията, в структурата на</w:t>
      </w:r>
      <w:r w:rsidRPr="00EC09CE">
        <w:rPr>
          <w:rFonts w:ascii="Verdana" w:hAnsi="Verdana" w:cs="Times New Roman"/>
          <w:lang w:val="bg-BG"/>
        </w:rPr>
        <w:t xml:space="preserve"> която продоволствията заемат</w:t>
      </w:r>
      <w:r w:rsidRPr="00EC09CE">
        <w:rPr>
          <w:rStyle w:val="hps"/>
          <w:rFonts w:ascii="Verdana" w:hAnsi="Verdana" w:cs="Times New Roman"/>
          <w:lang w:val="bg-BG"/>
        </w:rPr>
        <w:t xml:space="preserve"> </w:t>
      </w:r>
      <w:r w:rsidRPr="00EC09CE">
        <w:rPr>
          <w:rStyle w:val="hps"/>
          <w:rFonts w:ascii="Verdana" w:hAnsi="Verdana" w:cs="Times New Roman"/>
          <w:lang w:val="bg-BG"/>
        </w:rPr>
        <w:lastRenderedPageBreak/>
        <w:t>30</w:t>
      </w:r>
      <w:r w:rsidRPr="00EC09CE">
        <w:rPr>
          <w:rFonts w:ascii="Verdana" w:hAnsi="Verdana" w:cs="Times New Roman"/>
          <w:lang w:val="bg-BG"/>
        </w:rPr>
        <w:t xml:space="preserve">%. </w:t>
      </w:r>
      <w:r w:rsidRPr="00EC09CE">
        <w:rPr>
          <w:rStyle w:val="hps"/>
          <w:rFonts w:ascii="Verdana" w:hAnsi="Verdana" w:cs="Times New Roman"/>
          <w:lang w:val="bg-BG"/>
        </w:rPr>
        <w:t>Росстат</w:t>
      </w:r>
      <w:r w:rsidRPr="00EC09CE">
        <w:rPr>
          <w:rFonts w:ascii="Verdana" w:hAnsi="Verdana" w:cs="Times New Roman"/>
          <w:lang w:val="bg-BG"/>
        </w:rPr>
        <w:t xml:space="preserve"> вече </w:t>
      </w:r>
      <w:r w:rsidRPr="00EC09CE">
        <w:rPr>
          <w:rStyle w:val="hps"/>
          <w:rFonts w:ascii="Verdana" w:hAnsi="Verdana" w:cs="Times New Roman"/>
          <w:lang w:val="bg-BG"/>
        </w:rPr>
        <w:t>докладва за увеличение на потребителските цени до 7.6% на годишна база в края на август.</w:t>
      </w:r>
    </w:p>
    <w:p w:rsidR="00226E3D" w:rsidRPr="00EC09CE" w:rsidRDefault="00226E3D" w:rsidP="00EC09CE">
      <w:pPr>
        <w:pStyle w:val="a4"/>
        <w:spacing w:after="120" w:line="276" w:lineRule="auto"/>
        <w:ind w:left="-709" w:firstLine="709"/>
        <w:jc w:val="both"/>
        <w:rPr>
          <w:rStyle w:val="hps"/>
          <w:rFonts w:ascii="Verdana" w:hAnsi="Verdana" w:cs="Times New Roman"/>
          <w:lang w:val="bg-BG"/>
        </w:rPr>
      </w:pPr>
      <w:r w:rsidRPr="00EC09CE">
        <w:rPr>
          <w:rFonts w:ascii="Verdana" w:hAnsi="Verdana" w:cs="Times New Roman"/>
          <w:lang w:val="bg-BG"/>
        </w:rPr>
        <w:t xml:space="preserve">Предвижда се </w:t>
      </w:r>
      <w:r w:rsidRPr="00EC09CE">
        <w:rPr>
          <w:rStyle w:val="hps"/>
          <w:rFonts w:ascii="Verdana" w:hAnsi="Verdana" w:cs="Times New Roman"/>
          <w:lang w:val="bg-BG"/>
        </w:rPr>
        <w:t>ускоряване на инфлацията до 9% - 10%</w:t>
      </w:r>
      <w:r w:rsidRPr="00EC09CE">
        <w:rPr>
          <w:rFonts w:ascii="Verdana" w:hAnsi="Verdana" w:cs="Times New Roman"/>
          <w:lang w:val="bg-BG"/>
        </w:rPr>
        <w:t xml:space="preserve"> към </w:t>
      </w:r>
      <w:r w:rsidRPr="00EC09CE">
        <w:rPr>
          <w:rStyle w:val="hps"/>
          <w:rFonts w:ascii="Verdana" w:hAnsi="Verdana" w:cs="Times New Roman"/>
          <w:lang w:val="bg-BG"/>
        </w:rPr>
        <w:t>средата на 2015 г.</w:t>
      </w:r>
    </w:p>
    <w:p w:rsidR="00226E3D" w:rsidRPr="00EC09CE" w:rsidRDefault="00226E3D" w:rsidP="00EC09CE">
      <w:pPr>
        <w:ind w:left="-709" w:firstLine="709"/>
        <w:rPr>
          <w:rFonts w:ascii="Verdana" w:hAnsi="Verdana" w:cs="Times New Roman"/>
        </w:rPr>
      </w:pPr>
      <w:r w:rsidRPr="00EC09CE">
        <w:rPr>
          <w:rFonts w:ascii="Verdana" w:hAnsi="Verdana" w:cs="Times New Roman"/>
          <w:noProof/>
          <w:lang w:eastAsia="ru-RU"/>
        </w:rPr>
        <w:drawing>
          <wp:inline distT="0" distB="0" distL="0" distR="0" wp14:anchorId="52ABD076" wp14:editId="246911D1">
            <wp:extent cx="6319122" cy="3883259"/>
            <wp:effectExtent l="0" t="0" r="571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162" cy="388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3D" w:rsidRPr="00EC09CE" w:rsidRDefault="00226E3D" w:rsidP="00EC09CE">
      <w:pPr>
        <w:pStyle w:val="a4"/>
        <w:ind w:left="-709" w:firstLine="709"/>
        <w:jc w:val="both"/>
        <w:rPr>
          <w:rFonts w:ascii="Verdana" w:hAnsi="Verdana" w:cs="Times New Roman"/>
        </w:rPr>
      </w:pPr>
    </w:p>
    <w:p w:rsidR="00226E3D" w:rsidRPr="00EC09CE" w:rsidRDefault="00226E3D" w:rsidP="00EC09CE">
      <w:pPr>
        <w:pStyle w:val="a4"/>
        <w:ind w:left="-709" w:firstLine="709"/>
        <w:jc w:val="right"/>
        <w:rPr>
          <w:rStyle w:val="a8"/>
          <w:rFonts w:ascii="Verdana" w:hAnsi="Verdana" w:cs="Times New Roman"/>
        </w:rPr>
      </w:pPr>
      <w:hyperlink r:id="rId8" w:history="1">
        <w:r w:rsidRPr="00EC09CE">
          <w:rPr>
            <w:rStyle w:val="a8"/>
            <w:rFonts w:ascii="Verdana" w:hAnsi="Verdana" w:cs="Times New Roman"/>
          </w:rPr>
          <w:t>http://www.kommersant.ru</w:t>
        </w:r>
      </w:hyperlink>
    </w:p>
    <w:p w:rsidR="00226E3D" w:rsidRPr="00EC09CE" w:rsidRDefault="00226E3D" w:rsidP="00226E3D">
      <w:pPr>
        <w:pStyle w:val="a4"/>
        <w:ind w:firstLine="708"/>
        <w:jc w:val="both"/>
        <w:rPr>
          <w:rFonts w:ascii="Verdana" w:hAnsi="Verdana" w:cs="Times New Roman"/>
          <w:lang w:val="bg-BG"/>
        </w:rPr>
      </w:pPr>
    </w:p>
    <w:p w:rsidR="00226E3D" w:rsidRPr="00EC09CE" w:rsidRDefault="00226E3D" w:rsidP="00226E3D">
      <w:pPr>
        <w:rPr>
          <w:rFonts w:ascii="Verdana" w:hAnsi="Verdana" w:cs="Times New Roman"/>
          <w:lang w:val="en-US"/>
        </w:rPr>
      </w:pPr>
    </w:p>
    <w:sectPr w:rsidR="00226E3D" w:rsidRPr="00EC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9A"/>
    <w:rsid w:val="00017543"/>
    <w:rsid w:val="0009214D"/>
    <w:rsid w:val="000B6636"/>
    <w:rsid w:val="000C47D2"/>
    <w:rsid w:val="00113BBD"/>
    <w:rsid w:val="001302E3"/>
    <w:rsid w:val="00130AA0"/>
    <w:rsid w:val="00173000"/>
    <w:rsid w:val="001C19CA"/>
    <w:rsid w:val="00226E3D"/>
    <w:rsid w:val="00227C5E"/>
    <w:rsid w:val="00293949"/>
    <w:rsid w:val="002E0469"/>
    <w:rsid w:val="002E7011"/>
    <w:rsid w:val="002F3E1B"/>
    <w:rsid w:val="00302DAB"/>
    <w:rsid w:val="0033327F"/>
    <w:rsid w:val="00374240"/>
    <w:rsid w:val="003E35B3"/>
    <w:rsid w:val="00442F9A"/>
    <w:rsid w:val="00456EA3"/>
    <w:rsid w:val="004A0612"/>
    <w:rsid w:val="004D37E6"/>
    <w:rsid w:val="00537AAF"/>
    <w:rsid w:val="005649F0"/>
    <w:rsid w:val="00594D57"/>
    <w:rsid w:val="005A0D2C"/>
    <w:rsid w:val="005A5D85"/>
    <w:rsid w:val="005A75F2"/>
    <w:rsid w:val="00620BE3"/>
    <w:rsid w:val="00630D2B"/>
    <w:rsid w:val="00672B3C"/>
    <w:rsid w:val="006D23D9"/>
    <w:rsid w:val="00771C2D"/>
    <w:rsid w:val="007A0CC2"/>
    <w:rsid w:val="007D00A7"/>
    <w:rsid w:val="007F33D5"/>
    <w:rsid w:val="00823BBC"/>
    <w:rsid w:val="00852F75"/>
    <w:rsid w:val="00854AEB"/>
    <w:rsid w:val="008D6B45"/>
    <w:rsid w:val="009369A4"/>
    <w:rsid w:val="00950908"/>
    <w:rsid w:val="00954963"/>
    <w:rsid w:val="00980FFC"/>
    <w:rsid w:val="009A10F5"/>
    <w:rsid w:val="009D172A"/>
    <w:rsid w:val="00A22A08"/>
    <w:rsid w:val="00A36B8E"/>
    <w:rsid w:val="00A71713"/>
    <w:rsid w:val="00AB62E8"/>
    <w:rsid w:val="00AE30F4"/>
    <w:rsid w:val="00B249E2"/>
    <w:rsid w:val="00B405CE"/>
    <w:rsid w:val="00B65ECC"/>
    <w:rsid w:val="00BB21F4"/>
    <w:rsid w:val="00BE00C2"/>
    <w:rsid w:val="00C1651B"/>
    <w:rsid w:val="00C20E0B"/>
    <w:rsid w:val="00C27C6B"/>
    <w:rsid w:val="00C5022B"/>
    <w:rsid w:val="00C51708"/>
    <w:rsid w:val="00C75036"/>
    <w:rsid w:val="00D81AAF"/>
    <w:rsid w:val="00D967F6"/>
    <w:rsid w:val="00DD3DA8"/>
    <w:rsid w:val="00DF1739"/>
    <w:rsid w:val="00E31B6C"/>
    <w:rsid w:val="00E8114A"/>
    <w:rsid w:val="00EA2234"/>
    <w:rsid w:val="00EB3D49"/>
    <w:rsid w:val="00EC09CE"/>
    <w:rsid w:val="00F04454"/>
    <w:rsid w:val="00F17325"/>
    <w:rsid w:val="00F31C02"/>
    <w:rsid w:val="00F42EA0"/>
    <w:rsid w:val="00F6564D"/>
    <w:rsid w:val="00F766CA"/>
    <w:rsid w:val="00FA2BC4"/>
    <w:rsid w:val="00FD02A7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26E3D"/>
  </w:style>
  <w:style w:type="paragraph" w:styleId="a4">
    <w:name w:val="No Spacing"/>
    <w:link w:val="a3"/>
    <w:uiPriority w:val="1"/>
    <w:qFormat/>
    <w:rsid w:val="00226E3D"/>
    <w:pPr>
      <w:spacing w:after="0" w:line="240" w:lineRule="auto"/>
    </w:pPr>
  </w:style>
  <w:style w:type="character" w:customStyle="1" w:styleId="hps">
    <w:name w:val="hps"/>
    <w:basedOn w:val="a0"/>
    <w:rsid w:val="00226E3D"/>
  </w:style>
  <w:style w:type="table" w:styleId="a5">
    <w:name w:val="Table Grid"/>
    <w:basedOn w:val="a1"/>
    <w:uiPriority w:val="59"/>
    <w:rsid w:val="00226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E3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26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26E3D"/>
  </w:style>
  <w:style w:type="paragraph" w:styleId="a4">
    <w:name w:val="No Spacing"/>
    <w:link w:val="a3"/>
    <w:uiPriority w:val="1"/>
    <w:qFormat/>
    <w:rsid w:val="00226E3D"/>
    <w:pPr>
      <w:spacing w:after="0" w:line="240" w:lineRule="auto"/>
    </w:pPr>
  </w:style>
  <w:style w:type="character" w:customStyle="1" w:styleId="hps">
    <w:name w:val="hps"/>
    <w:basedOn w:val="a0"/>
    <w:rsid w:val="00226E3D"/>
  </w:style>
  <w:style w:type="table" w:styleId="a5">
    <w:name w:val="Table Grid"/>
    <w:basedOn w:val="a1"/>
    <w:uiPriority w:val="59"/>
    <w:rsid w:val="00226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E3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26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ers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ru/url?sa=i&amp;rct=j&amp;q=&amp;esrc=s&amp;source=images&amp;cd=&amp;cad=rja&amp;uact=8&amp;docid=BO0RQvMXNX_SxM&amp;tbnid=0RE51I2oTSkpRM:&amp;ved=0CAcQjRw&amp;url=http://nokstv.ru/news/russia/finance/10016&amp;ei=WlEuVInHOKOAywPWiIKwDQ&amp;bvm=bv.76802529,d.bGQ&amp;psig=AFQjCNEpwA5LsPE_4Gv6-wdToUGqWhgruA&amp;ust=141240766912747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2531</Characters>
  <Application>Microsoft Office Word</Application>
  <DocSecurity>0</DocSecurity>
  <Lines>21</Lines>
  <Paragraphs>5</Paragraphs>
  <ScaleCrop>false</ScaleCrop>
  <Company>Prive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2014-10-08T11:01:00Z</dcterms:created>
  <dcterms:modified xsi:type="dcterms:W3CDTF">2014-10-08T11:03:00Z</dcterms:modified>
</cp:coreProperties>
</file>