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page" w:horzAnchor="margin" w:tblpY="465"/>
        <w:tblW w:w="38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222"/>
      </w:tblGrid>
      <w:tr w:rsidR="0010264F" w:rsidTr="00183148">
        <w:trPr>
          <w:trHeight w:val="2930"/>
        </w:trPr>
        <w:tc>
          <w:tcPr>
            <w:tcW w:w="3609" w:type="dxa"/>
            <w:hideMark/>
          </w:tcPr>
          <w:p w:rsidR="0010264F" w:rsidRDefault="0010264F" w:rsidP="00183148">
            <w:pPr>
              <w:ind w:right="-154" w:firstLine="52"/>
              <w:rPr>
                <w:rFonts w:ascii="Verdana" w:hAnsi="Verdana"/>
                <w:sz w:val="20"/>
                <w:szCs w:val="20"/>
                <w:lang w:val="bg-BG"/>
              </w:rPr>
            </w:pPr>
            <w:bookmarkStart w:id="0" w:name="_GoBack"/>
            <w:bookmarkEnd w:id="0"/>
            <w:r>
              <w:rPr>
                <w:rFonts w:ascii="Verdana" w:eastAsia="Calibri" w:hAnsi="Verdana" w:cs="Times New Roman"/>
                <w:noProof/>
                <w:color w:val="0000FF"/>
                <w:sz w:val="20"/>
                <w:szCs w:val="20"/>
                <w:bdr w:val="none" w:sz="0" w:space="0" w:color="auto" w:frame="1"/>
                <w:lang w:eastAsia="ru-RU"/>
              </w:rPr>
              <w:drawing>
                <wp:anchor distT="0" distB="0" distL="114300" distR="114300" simplePos="0" relativeHeight="251658240" behindDoc="1" locked="0" layoutInCell="1" allowOverlap="1" wp14:anchorId="24215F24" wp14:editId="2F4BBBB3">
                  <wp:simplePos x="0" y="0"/>
                  <wp:positionH relativeFrom="column">
                    <wp:posOffset>226060</wp:posOffset>
                  </wp:positionH>
                  <wp:positionV relativeFrom="paragraph">
                    <wp:posOffset>464185</wp:posOffset>
                  </wp:positionV>
                  <wp:extent cx="2154555" cy="1574165"/>
                  <wp:effectExtent l="0" t="0" r="0" b="6985"/>
                  <wp:wrapTight wrapText="bothSides">
                    <wp:wrapPolygon edited="0">
                      <wp:start x="0" y="0"/>
                      <wp:lineTo x="0" y="21434"/>
                      <wp:lineTo x="21390" y="21434"/>
                      <wp:lineTo x="21390" y="0"/>
                      <wp:lineTo x="0" y="0"/>
                    </wp:wrapPolygon>
                  </wp:wrapTight>
                  <wp:docPr id="1" name="Рисунок 1" descr="Описание: http://colxoz.com/wp-content/uploads/2012/12/zernovie-kyltyr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descr="Описание: http://colxoz.com/wp-content/uploads/2012/12/zernovie-kyltyri.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1574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 w:type="dxa"/>
          </w:tcPr>
          <w:p w:rsidR="0010264F" w:rsidRDefault="0010264F" w:rsidP="00183148">
            <w:pPr>
              <w:jc w:val="center"/>
              <w:rPr>
                <w:rFonts w:ascii="Verdana" w:hAnsi="Verdana"/>
                <w:b/>
                <w:sz w:val="20"/>
                <w:szCs w:val="20"/>
                <w:lang w:val="bg-BG"/>
              </w:rPr>
            </w:pPr>
          </w:p>
          <w:p w:rsidR="0010264F" w:rsidRDefault="0010264F" w:rsidP="00183148">
            <w:pPr>
              <w:spacing w:line="276" w:lineRule="auto"/>
              <w:jc w:val="both"/>
              <w:rPr>
                <w:rFonts w:ascii="Verdana" w:hAnsi="Verdana"/>
                <w:sz w:val="20"/>
                <w:szCs w:val="20"/>
                <w:lang w:val="bg-BG"/>
              </w:rPr>
            </w:pPr>
            <w:r>
              <w:rPr>
                <w:rFonts w:ascii="Verdana" w:hAnsi="Verdana"/>
                <w:sz w:val="20"/>
                <w:szCs w:val="20"/>
                <w:lang w:val="bg-BG"/>
              </w:rPr>
              <w:t xml:space="preserve"> </w:t>
            </w:r>
          </w:p>
        </w:tc>
      </w:tr>
    </w:tbl>
    <w:p w:rsidR="0008398F" w:rsidRDefault="0008398F" w:rsidP="0008398F">
      <w:pPr>
        <w:spacing w:after="0"/>
        <w:rPr>
          <w:rFonts w:ascii="Verdana" w:hAnsi="Verdana"/>
          <w:b/>
          <w:sz w:val="20"/>
          <w:szCs w:val="20"/>
          <w:lang w:val="bg-BG"/>
        </w:rPr>
      </w:pPr>
      <w:r>
        <w:rPr>
          <w:rFonts w:ascii="Verdana" w:hAnsi="Verdana"/>
          <w:b/>
          <w:sz w:val="20"/>
          <w:szCs w:val="20"/>
          <w:lang w:val="bg-BG"/>
        </w:rPr>
        <w:t>В 2014 година Русия очаква рекордно висок урожай на зърнени култури.</w:t>
      </w:r>
    </w:p>
    <w:p w:rsidR="0008398F" w:rsidRPr="0008398F" w:rsidRDefault="0008398F" w:rsidP="0008398F">
      <w:pPr>
        <w:pStyle w:val="a5"/>
        <w:spacing w:after="120" w:line="276" w:lineRule="auto"/>
        <w:jc w:val="both"/>
        <w:rPr>
          <w:rStyle w:val="hps"/>
          <w:rFonts w:ascii="Verdana" w:hAnsi="Verdana"/>
          <w:sz w:val="20"/>
          <w:szCs w:val="20"/>
        </w:rPr>
      </w:pPr>
      <w:r w:rsidRPr="0008398F">
        <w:rPr>
          <w:rStyle w:val="hps"/>
          <w:rFonts w:ascii="Verdana" w:hAnsi="Verdana"/>
          <w:sz w:val="20"/>
          <w:szCs w:val="20"/>
        </w:rPr>
        <w:t xml:space="preserve"> </w:t>
      </w:r>
    </w:p>
    <w:p w:rsidR="0008398F" w:rsidRPr="0008398F" w:rsidRDefault="0008398F" w:rsidP="0008398F">
      <w:pPr>
        <w:pStyle w:val="a5"/>
        <w:spacing w:after="120" w:line="276" w:lineRule="auto"/>
        <w:jc w:val="both"/>
        <w:rPr>
          <w:rStyle w:val="hps"/>
          <w:rFonts w:ascii="Verdana" w:hAnsi="Verdana"/>
          <w:sz w:val="20"/>
          <w:szCs w:val="20"/>
        </w:rPr>
      </w:pPr>
      <w:r>
        <w:rPr>
          <w:rStyle w:val="hps"/>
          <w:rFonts w:ascii="Verdana" w:hAnsi="Verdana"/>
          <w:sz w:val="20"/>
          <w:szCs w:val="20"/>
          <w:lang w:val="bg-BG"/>
        </w:rPr>
        <w:t>Експертите от RBC.research прогнозират, че през 2014 г. Русия ще произведе 97,1 мил.</w:t>
      </w:r>
      <w:r>
        <w:rPr>
          <w:rFonts w:ascii="Verdana" w:hAnsi="Verdana"/>
          <w:sz w:val="20"/>
          <w:szCs w:val="20"/>
          <w:lang w:val="bg-BG"/>
        </w:rPr>
        <w:t xml:space="preserve"> т</w:t>
      </w:r>
      <w:r>
        <w:rPr>
          <w:rStyle w:val="hps"/>
          <w:rFonts w:ascii="Verdana" w:hAnsi="Verdana"/>
          <w:sz w:val="20"/>
          <w:szCs w:val="20"/>
          <w:lang w:val="bg-BG"/>
        </w:rPr>
        <w:t>она зърнени култури</w:t>
      </w:r>
      <w:r>
        <w:rPr>
          <w:rFonts w:ascii="Verdana" w:hAnsi="Verdana"/>
          <w:sz w:val="20"/>
          <w:szCs w:val="20"/>
          <w:lang w:val="bg-BG"/>
        </w:rPr>
        <w:t xml:space="preserve">, </w:t>
      </w:r>
      <w:r>
        <w:rPr>
          <w:rStyle w:val="hps"/>
          <w:rFonts w:ascii="Verdana" w:hAnsi="Verdana"/>
          <w:sz w:val="20"/>
          <w:szCs w:val="20"/>
          <w:lang w:val="bg-BG"/>
        </w:rPr>
        <w:t>което е с около 5% повече, отколкото през 2013 г.</w:t>
      </w:r>
      <w:r>
        <w:rPr>
          <w:rFonts w:ascii="Verdana" w:hAnsi="Verdana"/>
          <w:sz w:val="20"/>
          <w:szCs w:val="20"/>
          <w:lang w:val="bg-BG"/>
        </w:rPr>
        <w:t xml:space="preserve"> В</w:t>
      </w:r>
      <w:r>
        <w:rPr>
          <w:rStyle w:val="hps"/>
          <w:rFonts w:ascii="Verdana" w:hAnsi="Verdana"/>
          <w:sz w:val="20"/>
          <w:szCs w:val="20"/>
          <w:lang w:val="bg-BG"/>
        </w:rPr>
        <w:t xml:space="preserve"> обема на производство доминира пшеницата-52,7 мил.тона</w:t>
      </w:r>
      <w:r>
        <w:rPr>
          <w:rFonts w:ascii="Verdana" w:hAnsi="Verdana"/>
          <w:sz w:val="20"/>
          <w:szCs w:val="20"/>
          <w:lang w:val="bg-BG"/>
        </w:rPr>
        <w:t xml:space="preserve">, </w:t>
      </w:r>
      <w:r>
        <w:rPr>
          <w:rStyle w:val="hps"/>
          <w:rFonts w:ascii="Verdana" w:hAnsi="Verdana"/>
          <w:sz w:val="20"/>
          <w:szCs w:val="20"/>
          <w:lang w:val="bg-BG"/>
        </w:rPr>
        <w:t>на второ място - ечемика(17,3 мил.тона</w:t>
      </w:r>
      <w:r>
        <w:rPr>
          <w:rFonts w:ascii="Verdana" w:hAnsi="Verdana"/>
          <w:sz w:val="20"/>
          <w:szCs w:val="20"/>
          <w:lang w:val="bg-BG"/>
        </w:rPr>
        <w:t xml:space="preserve">), </w:t>
      </w:r>
      <w:r>
        <w:rPr>
          <w:rStyle w:val="hps"/>
          <w:rFonts w:ascii="Verdana" w:hAnsi="Verdana"/>
          <w:sz w:val="20"/>
          <w:szCs w:val="20"/>
          <w:lang w:val="bg-BG"/>
        </w:rPr>
        <w:t>на трето – овеса (11.9 мил. тона</w:t>
      </w:r>
      <w:r>
        <w:rPr>
          <w:rFonts w:ascii="Verdana" w:hAnsi="Verdana"/>
          <w:sz w:val="20"/>
          <w:szCs w:val="20"/>
          <w:lang w:val="bg-BG"/>
        </w:rPr>
        <w:t>), на ч</w:t>
      </w:r>
      <w:r>
        <w:rPr>
          <w:rStyle w:val="hps"/>
          <w:rFonts w:ascii="Verdana" w:hAnsi="Verdana"/>
          <w:sz w:val="20"/>
          <w:szCs w:val="20"/>
          <w:lang w:val="bg-BG"/>
        </w:rPr>
        <w:t>етвърто - царевицата (</w:t>
      </w:r>
      <w:r>
        <w:rPr>
          <w:rFonts w:ascii="Verdana" w:hAnsi="Verdana"/>
          <w:sz w:val="20"/>
          <w:szCs w:val="20"/>
          <w:lang w:val="bg-BG"/>
        </w:rPr>
        <w:t>5,34 мил.т.).</w:t>
      </w:r>
    </w:p>
    <w:p w:rsidR="0010264F" w:rsidRDefault="0010264F" w:rsidP="0010264F">
      <w:pPr>
        <w:pStyle w:val="a5"/>
        <w:spacing w:after="120" w:line="276" w:lineRule="auto"/>
        <w:ind w:firstLine="709"/>
        <w:jc w:val="both"/>
        <w:rPr>
          <w:rStyle w:val="hps"/>
          <w:rFonts w:ascii="Verdana" w:hAnsi="Verdana"/>
          <w:sz w:val="20"/>
          <w:szCs w:val="20"/>
          <w:lang w:val="bg-BG"/>
        </w:rPr>
      </w:pPr>
      <w:r>
        <w:rPr>
          <w:rStyle w:val="hps"/>
          <w:rFonts w:ascii="Verdana" w:hAnsi="Verdana"/>
          <w:sz w:val="20"/>
          <w:szCs w:val="20"/>
          <w:lang w:val="bg-BG"/>
        </w:rPr>
        <w:t xml:space="preserve">Както се отбелязва в проучване на RBC.research в "Руския пазар на зърно през 2014 г.", показателите са свързани с факта, че през 2013-2014 селскостопанска година в Руската федерация са преобладавали оптимални климатични условия за отглеждане на основните зърнени култури. </w:t>
      </w:r>
    </w:p>
    <w:p w:rsidR="0010264F" w:rsidRDefault="0010264F" w:rsidP="0010264F">
      <w:pPr>
        <w:pStyle w:val="a5"/>
        <w:spacing w:after="120" w:line="276" w:lineRule="auto"/>
        <w:ind w:firstLine="709"/>
        <w:jc w:val="both"/>
      </w:pPr>
      <w:r>
        <w:rPr>
          <w:rFonts w:ascii="Verdana" w:hAnsi="Verdana"/>
          <w:sz w:val="20"/>
          <w:szCs w:val="20"/>
          <w:lang w:val="bg-BG"/>
        </w:rPr>
        <w:t xml:space="preserve">Засятата площ от зърнени култури в Русия в сравнение с предходната година се е увеличила с 2.2% и е станала 46.8 мил. хектара. По разпределение на обработваемите площи на територията на Руската федерация лидери остават Приволжски (15%), Сибирски (10,9%), Централен  (8.9%) и Южен (5.4%) федерални окръга. </w:t>
      </w:r>
    </w:p>
    <w:p w:rsidR="0010264F" w:rsidRDefault="0010264F" w:rsidP="0010264F">
      <w:pPr>
        <w:pStyle w:val="a5"/>
        <w:spacing w:after="120" w:line="276" w:lineRule="auto"/>
        <w:ind w:firstLine="709"/>
        <w:jc w:val="both"/>
        <w:rPr>
          <w:rFonts w:ascii="Verdana" w:hAnsi="Verdana"/>
          <w:sz w:val="20"/>
          <w:szCs w:val="20"/>
          <w:lang w:val="bg-BG"/>
        </w:rPr>
      </w:pPr>
      <w:r>
        <w:rPr>
          <w:rFonts w:ascii="Verdana" w:hAnsi="Verdana"/>
          <w:sz w:val="20"/>
          <w:szCs w:val="20"/>
          <w:lang w:val="bg-BG"/>
        </w:rPr>
        <w:t>Добива на зърно се очаква да бъде около 2,06 тона от хектар. В течение на последните 10 години се наблюдава тенденция за увеличаване на добива, но тя е нестабилна, което показва липса на прилагане на иновации в производството на зърно в Русия.</w:t>
      </w:r>
    </w:p>
    <w:p w:rsidR="0010264F" w:rsidRDefault="0010264F" w:rsidP="0010264F">
      <w:pPr>
        <w:pStyle w:val="a5"/>
        <w:spacing w:after="120" w:line="276" w:lineRule="auto"/>
        <w:ind w:firstLine="709"/>
        <w:jc w:val="both"/>
        <w:rPr>
          <w:rFonts w:ascii="Verdana" w:hAnsi="Verdana"/>
          <w:sz w:val="20"/>
          <w:szCs w:val="20"/>
          <w:lang w:val="bg-BG"/>
        </w:rPr>
      </w:pPr>
      <w:r>
        <w:rPr>
          <w:rFonts w:ascii="Verdana" w:hAnsi="Verdana"/>
          <w:sz w:val="20"/>
          <w:szCs w:val="20"/>
          <w:lang w:val="bg-BG"/>
        </w:rPr>
        <w:t>Поради високата реколта през 2014 г. значително е намалял обема на вноса (55%), включително и за вноса на пшеница и лимец - с 52.6%, от 635 хил. т. до 300 хил. т., и съответно се е увеличил износа - тази година Русия може да достави на световния пазар над 20 мил. т. Според прогнозата на Министерството на икономическото развитие на РФ, до 2016 г. износа на руско зърно ще нарасне до 28,5 мил. тона.</w:t>
      </w:r>
    </w:p>
    <w:p w:rsidR="0010264F" w:rsidRDefault="0010264F" w:rsidP="0010264F">
      <w:pPr>
        <w:pStyle w:val="a5"/>
        <w:spacing w:after="120" w:line="276" w:lineRule="auto"/>
        <w:ind w:firstLine="709"/>
        <w:jc w:val="both"/>
        <w:rPr>
          <w:rFonts w:ascii="Verdana" w:hAnsi="Verdana"/>
          <w:sz w:val="20"/>
          <w:szCs w:val="20"/>
          <w:lang w:val="en-US"/>
        </w:rPr>
      </w:pPr>
      <w:r>
        <w:rPr>
          <w:rFonts w:ascii="Verdana" w:hAnsi="Verdana"/>
          <w:sz w:val="20"/>
          <w:szCs w:val="20"/>
          <w:lang w:val="bg-BG"/>
        </w:rPr>
        <w:t>Основните страни вносители на руска пшеница за 2012-2013 г. са страните от Близкия изток: Турция, Египет, Йемен, Иран, Азербайджан и др.</w:t>
      </w:r>
    </w:p>
    <w:p w:rsidR="00183148" w:rsidRPr="00183148" w:rsidRDefault="00183148" w:rsidP="0010264F">
      <w:pPr>
        <w:pStyle w:val="a5"/>
        <w:spacing w:after="120" w:line="276" w:lineRule="auto"/>
        <w:ind w:firstLine="709"/>
        <w:jc w:val="both"/>
        <w:rPr>
          <w:rFonts w:ascii="Verdana" w:hAnsi="Verdana"/>
          <w:sz w:val="20"/>
          <w:szCs w:val="20"/>
          <w:lang w:val="en-US"/>
        </w:rPr>
      </w:pPr>
    </w:p>
    <w:p w:rsidR="0010264F" w:rsidRDefault="0010264F" w:rsidP="0010264F">
      <w:pPr>
        <w:pStyle w:val="a6"/>
        <w:spacing w:after="0"/>
        <w:ind w:left="5676" w:firstLine="696"/>
        <w:jc w:val="both"/>
        <w:rPr>
          <w:rFonts w:ascii="Verdana" w:hAnsi="Verdana"/>
          <w:sz w:val="20"/>
          <w:szCs w:val="20"/>
          <w:lang w:val="bg-BG"/>
        </w:rPr>
      </w:pPr>
      <w:hyperlink r:id="rId7" w:history="1">
        <w:r>
          <w:rPr>
            <w:rStyle w:val="a3"/>
            <w:rFonts w:ascii="Verdana" w:hAnsi="Verdana"/>
            <w:sz w:val="20"/>
            <w:szCs w:val="20"/>
            <w:lang w:val="bg-BG"/>
          </w:rPr>
          <w:t>http://marketing.rbc.ru</w:t>
        </w:r>
      </w:hyperlink>
    </w:p>
    <w:sectPr w:rsidR="00102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7F"/>
    <w:rsid w:val="00017543"/>
    <w:rsid w:val="0008398F"/>
    <w:rsid w:val="0009214D"/>
    <w:rsid w:val="000B6636"/>
    <w:rsid w:val="000C47D2"/>
    <w:rsid w:val="0010264F"/>
    <w:rsid w:val="00113BBD"/>
    <w:rsid w:val="001302E3"/>
    <w:rsid w:val="00130AA0"/>
    <w:rsid w:val="00173000"/>
    <w:rsid w:val="00183148"/>
    <w:rsid w:val="001C19CA"/>
    <w:rsid w:val="00227C5E"/>
    <w:rsid w:val="00293949"/>
    <w:rsid w:val="002E0469"/>
    <w:rsid w:val="002E7011"/>
    <w:rsid w:val="002F3E1B"/>
    <w:rsid w:val="00302DAB"/>
    <w:rsid w:val="0033327F"/>
    <w:rsid w:val="00374240"/>
    <w:rsid w:val="003E35B3"/>
    <w:rsid w:val="00456EA3"/>
    <w:rsid w:val="004A0612"/>
    <w:rsid w:val="004D37E6"/>
    <w:rsid w:val="00537AAF"/>
    <w:rsid w:val="005649F0"/>
    <w:rsid w:val="00594D57"/>
    <w:rsid w:val="005A0D2C"/>
    <w:rsid w:val="005A5D85"/>
    <w:rsid w:val="005A75F2"/>
    <w:rsid w:val="00620BE3"/>
    <w:rsid w:val="00630D2B"/>
    <w:rsid w:val="00672B3C"/>
    <w:rsid w:val="006D23D9"/>
    <w:rsid w:val="00771C2D"/>
    <w:rsid w:val="007A0CC2"/>
    <w:rsid w:val="007D00A7"/>
    <w:rsid w:val="007F33D5"/>
    <w:rsid w:val="00823BBC"/>
    <w:rsid w:val="00852F75"/>
    <w:rsid w:val="00854AEB"/>
    <w:rsid w:val="008D6B45"/>
    <w:rsid w:val="009369A4"/>
    <w:rsid w:val="00950908"/>
    <w:rsid w:val="00954963"/>
    <w:rsid w:val="00980FFC"/>
    <w:rsid w:val="0099347F"/>
    <w:rsid w:val="009A10F5"/>
    <w:rsid w:val="009D172A"/>
    <w:rsid w:val="00A22A08"/>
    <w:rsid w:val="00A36B8E"/>
    <w:rsid w:val="00A71713"/>
    <w:rsid w:val="00AB62E8"/>
    <w:rsid w:val="00AE30F4"/>
    <w:rsid w:val="00B249E2"/>
    <w:rsid w:val="00B405CE"/>
    <w:rsid w:val="00B65ECC"/>
    <w:rsid w:val="00BB21F4"/>
    <w:rsid w:val="00BE00C2"/>
    <w:rsid w:val="00C1651B"/>
    <w:rsid w:val="00C20E0B"/>
    <w:rsid w:val="00C27C6B"/>
    <w:rsid w:val="00C5022B"/>
    <w:rsid w:val="00C51708"/>
    <w:rsid w:val="00C75036"/>
    <w:rsid w:val="00D81AAF"/>
    <w:rsid w:val="00D967F6"/>
    <w:rsid w:val="00DD3DA8"/>
    <w:rsid w:val="00DF1739"/>
    <w:rsid w:val="00E31B6C"/>
    <w:rsid w:val="00E8114A"/>
    <w:rsid w:val="00EA2234"/>
    <w:rsid w:val="00EB3D49"/>
    <w:rsid w:val="00F04454"/>
    <w:rsid w:val="00F17325"/>
    <w:rsid w:val="00F31C02"/>
    <w:rsid w:val="00F42EA0"/>
    <w:rsid w:val="00F6564D"/>
    <w:rsid w:val="00F766CA"/>
    <w:rsid w:val="00FA2BC4"/>
    <w:rsid w:val="00FD02A7"/>
    <w:rsid w:val="00FF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64F"/>
    <w:rPr>
      <w:color w:val="0000FF" w:themeColor="hyperlink"/>
      <w:u w:val="single"/>
    </w:rPr>
  </w:style>
  <w:style w:type="character" w:customStyle="1" w:styleId="a4">
    <w:name w:val="Без интервала Знак"/>
    <w:basedOn w:val="a0"/>
    <w:link w:val="a5"/>
    <w:uiPriority w:val="1"/>
    <w:locked/>
    <w:rsid w:val="0010264F"/>
  </w:style>
  <w:style w:type="paragraph" w:styleId="a5">
    <w:name w:val="No Spacing"/>
    <w:link w:val="a4"/>
    <w:uiPriority w:val="1"/>
    <w:qFormat/>
    <w:rsid w:val="0010264F"/>
    <w:pPr>
      <w:spacing w:after="0" w:line="240" w:lineRule="auto"/>
    </w:pPr>
  </w:style>
  <w:style w:type="paragraph" w:styleId="a6">
    <w:name w:val="List Paragraph"/>
    <w:basedOn w:val="a"/>
    <w:uiPriority w:val="34"/>
    <w:qFormat/>
    <w:rsid w:val="0010264F"/>
    <w:pPr>
      <w:ind w:left="720"/>
      <w:contextualSpacing/>
    </w:pPr>
  </w:style>
  <w:style w:type="character" w:customStyle="1" w:styleId="hps">
    <w:name w:val="hps"/>
    <w:basedOn w:val="a0"/>
    <w:rsid w:val="0010264F"/>
  </w:style>
  <w:style w:type="table" w:styleId="a7">
    <w:name w:val="Table Grid"/>
    <w:basedOn w:val="a1"/>
    <w:uiPriority w:val="59"/>
    <w:rsid w:val="0010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26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2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64F"/>
    <w:rPr>
      <w:color w:val="0000FF" w:themeColor="hyperlink"/>
      <w:u w:val="single"/>
    </w:rPr>
  </w:style>
  <w:style w:type="character" w:customStyle="1" w:styleId="a4">
    <w:name w:val="Без интервала Знак"/>
    <w:basedOn w:val="a0"/>
    <w:link w:val="a5"/>
    <w:uiPriority w:val="1"/>
    <w:locked/>
    <w:rsid w:val="0010264F"/>
  </w:style>
  <w:style w:type="paragraph" w:styleId="a5">
    <w:name w:val="No Spacing"/>
    <w:link w:val="a4"/>
    <w:uiPriority w:val="1"/>
    <w:qFormat/>
    <w:rsid w:val="0010264F"/>
    <w:pPr>
      <w:spacing w:after="0" w:line="240" w:lineRule="auto"/>
    </w:pPr>
  </w:style>
  <w:style w:type="paragraph" w:styleId="a6">
    <w:name w:val="List Paragraph"/>
    <w:basedOn w:val="a"/>
    <w:uiPriority w:val="34"/>
    <w:qFormat/>
    <w:rsid w:val="0010264F"/>
    <w:pPr>
      <w:ind w:left="720"/>
      <w:contextualSpacing/>
    </w:pPr>
  </w:style>
  <w:style w:type="character" w:customStyle="1" w:styleId="hps">
    <w:name w:val="hps"/>
    <w:basedOn w:val="a0"/>
    <w:rsid w:val="0010264F"/>
  </w:style>
  <w:style w:type="table" w:styleId="a7">
    <w:name w:val="Table Grid"/>
    <w:basedOn w:val="a1"/>
    <w:uiPriority w:val="59"/>
    <w:rsid w:val="0010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26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2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keting.rbc.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ru/url?sa=i&amp;rct=j&amp;q=&amp;esrc=s&amp;source=images&amp;cd=&amp;cad=rja&amp;uact=8&amp;docid=PSH-xptxp1P-xM&amp;tbnid=m6qtX4jEAea-1M:&amp;ved=0CAcQjRw&amp;url=http://colxoz.com/zernovye-kultury-kakoj-urozhaj-ozhidayut-agrarii/&amp;ei=MskiVNP1F6r9ywOI04CgAw&amp;bvm=bv.76180860,d.bGQ&amp;psig=AFQjCNH_xil_R3FP5zgfXdVS1lp6O1WsQQ&amp;ust=14116521573853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1560</Characters>
  <Application>Microsoft Office Word</Application>
  <DocSecurity>0</DocSecurity>
  <Lines>13</Lines>
  <Paragraphs>3</Paragraphs>
  <ScaleCrop>false</ScaleCrop>
  <Company>Prive</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2014-10-08T10:54:00Z</dcterms:created>
  <dcterms:modified xsi:type="dcterms:W3CDTF">2014-10-08T10:58:00Z</dcterms:modified>
</cp:coreProperties>
</file>